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6B5753" w:rsidRPr="00EB3F80" w:rsidTr="00BA3012">
        <w:tc>
          <w:tcPr>
            <w:tcW w:w="2448" w:type="dxa"/>
          </w:tcPr>
          <w:p w:rsidR="006B5753" w:rsidRPr="00EB3F80" w:rsidRDefault="006B5753" w:rsidP="00BA3012">
            <w:pPr>
              <w:pStyle w:val="Heading3"/>
              <w:rPr>
                <w:rFonts w:ascii="Times New Roman" w:hAnsi="Times New Roman" w:cs="Times New Roman"/>
              </w:rPr>
            </w:pPr>
          </w:p>
        </w:tc>
        <w:tc>
          <w:tcPr>
            <w:tcW w:w="5130" w:type="dxa"/>
          </w:tcPr>
          <w:p w:rsidR="006B5753" w:rsidRPr="00EB3F80" w:rsidRDefault="006B5753" w:rsidP="00BA3012">
            <w:pPr>
              <w:jc w:val="center"/>
              <w:rPr>
                <w:b/>
                <w:sz w:val="26"/>
                <w:szCs w:val="26"/>
              </w:rPr>
            </w:pPr>
            <w:r w:rsidRPr="00EB3F80">
              <w:rPr>
                <w:b/>
                <w:sz w:val="26"/>
                <w:szCs w:val="26"/>
              </w:rPr>
              <w:t>PENNSYLVANIA</w:t>
            </w:r>
          </w:p>
          <w:p w:rsidR="006B5753" w:rsidRPr="00EB3F80" w:rsidRDefault="006B5753" w:rsidP="00BA3012">
            <w:pPr>
              <w:jc w:val="center"/>
              <w:rPr>
                <w:b/>
                <w:sz w:val="26"/>
                <w:szCs w:val="26"/>
              </w:rPr>
            </w:pPr>
            <w:r w:rsidRPr="00EB3F80">
              <w:rPr>
                <w:b/>
                <w:sz w:val="26"/>
                <w:szCs w:val="26"/>
              </w:rPr>
              <w:t>PUBLIC UTILITY COMMISSION</w:t>
            </w:r>
          </w:p>
          <w:p w:rsidR="006B5753" w:rsidRPr="00EB3F80" w:rsidRDefault="00755D49" w:rsidP="00BA3012">
            <w:pPr>
              <w:pStyle w:val="StyleCentered"/>
              <w:rPr>
                <w:sz w:val="26"/>
                <w:szCs w:val="26"/>
              </w:rPr>
            </w:pPr>
            <w:r w:rsidRPr="00755D49">
              <w:rPr>
                <w:sz w:val="26"/>
                <w:szCs w:val="26"/>
              </w:rPr>
              <w:t>Harrisburg, PA.  17105-3265</w:t>
            </w:r>
          </w:p>
        </w:tc>
        <w:tc>
          <w:tcPr>
            <w:tcW w:w="2700" w:type="dxa"/>
          </w:tcPr>
          <w:p w:rsidR="006B5753" w:rsidRPr="00EB3F80" w:rsidRDefault="006B5753" w:rsidP="00BA3012">
            <w:pPr>
              <w:rPr>
                <w:sz w:val="26"/>
                <w:szCs w:val="26"/>
              </w:rPr>
            </w:pPr>
          </w:p>
        </w:tc>
      </w:tr>
    </w:tbl>
    <w:p w:rsidR="006B5753" w:rsidRPr="00EB3F80" w:rsidRDefault="006B5753" w:rsidP="006B5753">
      <w:pPr>
        <w:rPr>
          <w:sz w:val="26"/>
          <w:szCs w:val="26"/>
        </w:rPr>
      </w:pPr>
    </w:p>
    <w:tbl>
      <w:tblPr>
        <w:tblW w:w="0" w:type="auto"/>
        <w:tblLayout w:type="fixed"/>
        <w:tblLook w:val="0000"/>
      </w:tblPr>
      <w:tblGrid>
        <w:gridCol w:w="5148"/>
        <w:gridCol w:w="5148"/>
      </w:tblGrid>
      <w:tr w:rsidR="006B5753" w:rsidRPr="00EB3F80" w:rsidTr="00BA3012">
        <w:tc>
          <w:tcPr>
            <w:tcW w:w="5148" w:type="dxa"/>
          </w:tcPr>
          <w:p w:rsidR="006B5753" w:rsidRPr="00EB3F80" w:rsidRDefault="006B5753" w:rsidP="00BA3012">
            <w:pPr>
              <w:rPr>
                <w:sz w:val="26"/>
                <w:szCs w:val="26"/>
              </w:rPr>
            </w:pPr>
          </w:p>
        </w:tc>
        <w:tc>
          <w:tcPr>
            <w:tcW w:w="5148" w:type="dxa"/>
          </w:tcPr>
          <w:p w:rsidR="006B5753" w:rsidRPr="00EB3F80" w:rsidRDefault="006B5753" w:rsidP="008B445A">
            <w:pPr>
              <w:ind w:firstLine="612"/>
              <w:rPr>
                <w:sz w:val="26"/>
                <w:szCs w:val="26"/>
              </w:rPr>
            </w:pPr>
            <w:r w:rsidRPr="00EB3F80">
              <w:rPr>
                <w:sz w:val="26"/>
                <w:szCs w:val="26"/>
              </w:rPr>
              <w:t xml:space="preserve">Public Meeting held </w:t>
            </w:r>
            <w:r w:rsidR="003F48AE">
              <w:rPr>
                <w:sz w:val="26"/>
                <w:szCs w:val="26"/>
              </w:rPr>
              <w:t>February 24</w:t>
            </w:r>
            <w:r w:rsidRPr="00EB3F80">
              <w:rPr>
                <w:sz w:val="26"/>
                <w:szCs w:val="26"/>
              </w:rPr>
              <w:t>, 201</w:t>
            </w:r>
            <w:r w:rsidR="00BF66F0" w:rsidRPr="00EB3F80">
              <w:rPr>
                <w:sz w:val="26"/>
                <w:szCs w:val="26"/>
              </w:rPr>
              <w:t>1</w:t>
            </w:r>
          </w:p>
        </w:tc>
      </w:tr>
      <w:tr w:rsidR="006B5753" w:rsidRPr="00EB3F80" w:rsidTr="00BA3012">
        <w:tc>
          <w:tcPr>
            <w:tcW w:w="5148" w:type="dxa"/>
          </w:tcPr>
          <w:p w:rsidR="006B5753" w:rsidRPr="00EB3F80" w:rsidRDefault="006B5753" w:rsidP="00BA3012">
            <w:pPr>
              <w:rPr>
                <w:sz w:val="26"/>
                <w:szCs w:val="26"/>
              </w:rPr>
            </w:pPr>
            <w:r w:rsidRPr="00EB3F80">
              <w:rPr>
                <w:sz w:val="26"/>
                <w:szCs w:val="26"/>
              </w:rPr>
              <w:t>Commissioners Present:</w:t>
            </w:r>
          </w:p>
        </w:tc>
        <w:tc>
          <w:tcPr>
            <w:tcW w:w="5148" w:type="dxa"/>
          </w:tcPr>
          <w:p w:rsidR="006B5753" w:rsidRPr="00EB3F80" w:rsidRDefault="006B5753" w:rsidP="00BA3012">
            <w:pPr>
              <w:rPr>
                <w:sz w:val="26"/>
                <w:szCs w:val="26"/>
              </w:rPr>
            </w:pPr>
          </w:p>
        </w:tc>
      </w:tr>
    </w:tbl>
    <w:p w:rsidR="006B5753" w:rsidRPr="00EB3F80" w:rsidRDefault="006B5753" w:rsidP="006B5753">
      <w:pPr>
        <w:rPr>
          <w:sz w:val="26"/>
          <w:szCs w:val="26"/>
        </w:rPr>
      </w:pPr>
    </w:p>
    <w:tbl>
      <w:tblPr>
        <w:tblW w:w="10296" w:type="dxa"/>
        <w:tblLayout w:type="fixed"/>
        <w:tblLook w:val="0000"/>
      </w:tblPr>
      <w:tblGrid>
        <w:gridCol w:w="5958"/>
        <w:gridCol w:w="3510"/>
        <w:gridCol w:w="90"/>
        <w:gridCol w:w="738"/>
      </w:tblGrid>
      <w:tr w:rsidR="006B5753" w:rsidRPr="00EB3F80" w:rsidTr="00BA3012">
        <w:tc>
          <w:tcPr>
            <w:tcW w:w="9558" w:type="dxa"/>
            <w:gridSpan w:val="3"/>
          </w:tcPr>
          <w:p w:rsidR="006B5753" w:rsidRPr="00EB3F80" w:rsidRDefault="006B5753" w:rsidP="00BA3012">
            <w:pPr>
              <w:ind w:firstLine="450"/>
              <w:rPr>
                <w:sz w:val="26"/>
                <w:szCs w:val="26"/>
              </w:rPr>
            </w:pPr>
            <w:r w:rsidRPr="00EB3F80">
              <w:rPr>
                <w:sz w:val="26"/>
                <w:szCs w:val="26"/>
              </w:rPr>
              <w:t>James H. Cawley, Chairman</w:t>
            </w:r>
          </w:p>
        </w:tc>
        <w:tc>
          <w:tcPr>
            <w:tcW w:w="738" w:type="dxa"/>
          </w:tcPr>
          <w:p w:rsidR="006B5753" w:rsidRPr="00EB3F80" w:rsidRDefault="006B5753" w:rsidP="00BA3012">
            <w:pPr>
              <w:rPr>
                <w:sz w:val="26"/>
                <w:szCs w:val="26"/>
              </w:rPr>
            </w:pPr>
          </w:p>
        </w:tc>
      </w:tr>
      <w:tr w:rsidR="006B5753" w:rsidRPr="00EB3F80" w:rsidTr="00BA3012">
        <w:tc>
          <w:tcPr>
            <w:tcW w:w="9558" w:type="dxa"/>
            <w:gridSpan w:val="3"/>
          </w:tcPr>
          <w:p w:rsidR="006B5753" w:rsidRPr="00EB3F80" w:rsidRDefault="006B5753" w:rsidP="00BA3012">
            <w:pPr>
              <w:ind w:firstLine="450"/>
              <w:rPr>
                <w:sz w:val="26"/>
                <w:szCs w:val="26"/>
              </w:rPr>
            </w:pPr>
            <w:r w:rsidRPr="00EB3F80">
              <w:rPr>
                <w:sz w:val="26"/>
                <w:szCs w:val="26"/>
              </w:rPr>
              <w:t>Tyrone J. Christy, Vice Chairman</w:t>
            </w:r>
            <w:r w:rsidR="006B1EAD">
              <w:rPr>
                <w:sz w:val="26"/>
                <w:szCs w:val="26"/>
              </w:rPr>
              <w:t>, Dissenting</w:t>
            </w:r>
          </w:p>
          <w:p w:rsidR="00BF66F0" w:rsidRPr="00EB3F80" w:rsidRDefault="00BF66F0" w:rsidP="00BA3012">
            <w:pPr>
              <w:ind w:firstLine="450"/>
              <w:rPr>
                <w:sz w:val="26"/>
                <w:szCs w:val="26"/>
              </w:rPr>
            </w:pPr>
            <w:r w:rsidRPr="00EB3F80">
              <w:rPr>
                <w:sz w:val="26"/>
                <w:szCs w:val="26"/>
              </w:rPr>
              <w:t>John F. Coleman, Jr.</w:t>
            </w:r>
          </w:p>
        </w:tc>
        <w:tc>
          <w:tcPr>
            <w:tcW w:w="738" w:type="dxa"/>
          </w:tcPr>
          <w:p w:rsidR="006B5753" w:rsidRPr="00EB3F80" w:rsidRDefault="006B5753" w:rsidP="00BA3012">
            <w:pPr>
              <w:rPr>
                <w:sz w:val="26"/>
                <w:szCs w:val="26"/>
              </w:rPr>
            </w:pPr>
          </w:p>
        </w:tc>
      </w:tr>
      <w:tr w:rsidR="006B5753" w:rsidRPr="00EB3F80" w:rsidTr="00BA3012">
        <w:tc>
          <w:tcPr>
            <w:tcW w:w="9558" w:type="dxa"/>
            <w:gridSpan w:val="3"/>
          </w:tcPr>
          <w:p w:rsidR="006B5753" w:rsidRPr="00EB3F80" w:rsidRDefault="006B5753" w:rsidP="00BA3012">
            <w:pPr>
              <w:ind w:firstLine="450"/>
              <w:rPr>
                <w:sz w:val="26"/>
                <w:szCs w:val="26"/>
              </w:rPr>
            </w:pPr>
            <w:r w:rsidRPr="00EB3F80">
              <w:rPr>
                <w:sz w:val="26"/>
                <w:szCs w:val="26"/>
              </w:rPr>
              <w:t>Wayne E. Gardner</w:t>
            </w:r>
          </w:p>
        </w:tc>
        <w:tc>
          <w:tcPr>
            <w:tcW w:w="738" w:type="dxa"/>
          </w:tcPr>
          <w:p w:rsidR="006B5753" w:rsidRPr="00EB3F80" w:rsidRDefault="006B5753" w:rsidP="00BA3012">
            <w:pPr>
              <w:rPr>
                <w:sz w:val="26"/>
                <w:szCs w:val="26"/>
              </w:rPr>
            </w:pPr>
          </w:p>
        </w:tc>
      </w:tr>
      <w:tr w:rsidR="006B5753" w:rsidRPr="00EB3F80" w:rsidTr="00BA3012">
        <w:tc>
          <w:tcPr>
            <w:tcW w:w="9558" w:type="dxa"/>
            <w:gridSpan w:val="3"/>
          </w:tcPr>
          <w:p w:rsidR="006B5753" w:rsidRPr="00EB3F80" w:rsidRDefault="006B5753" w:rsidP="00BA3012">
            <w:pPr>
              <w:ind w:left="450"/>
              <w:rPr>
                <w:sz w:val="26"/>
                <w:szCs w:val="26"/>
              </w:rPr>
            </w:pPr>
            <w:r w:rsidRPr="00EB3F80">
              <w:rPr>
                <w:sz w:val="26"/>
                <w:szCs w:val="26"/>
              </w:rPr>
              <w:t>Robert F. Powelson</w:t>
            </w:r>
          </w:p>
        </w:tc>
        <w:tc>
          <w:tcPr>
            <w:tcW w:w="738" w:type="dxa"/>
          </w:tcPr>
          <w:p w:rsidR="006B5753" w:rsidRPr="00EB3F80" w:rsidRDefault="006B5753" w:rsidP="00BA3012">
            <w:pPr>
              <w:rPr>
                <w:sz w:val="26"/>
                <w:szCs w:val="26"/>
              </w:rPr>
            </w:pPr>
          </w:p>
        </w:tc>
      </w:tr>
      <w:tr w:rsidR="006B5753" w:rsidRPr="00EB3F80" w:rsidTr="00BA3012">
        <w:trPr>
          <w:gridAfter w:val="2"/>
          <w:wAfter w:w="828" w:type="dxa"/>
        </w:trPr>
        <w:tc>
          <w:tcPr>
            <w:tcW w:w="5958" w:type="dxa"/>
          </w:tcPr>
          <w:p w:rsidR="006B5753" w:rsidRPr="00EB3F80" w:rsidRDefault="006B5753" w:rsidP="00BA3012">
            <w:pPr>
              <w:rPr>
                <w:sz w:val="26"/>
                <w:szCs w:val="26"/>
              </w:rPr>
            </w:pPr>
          </w:p>
        </w:tc>
        <w:tc>
          <w:tcPr>
            <w:tcW w:w="3510" w:type="dxa"/>
          </w:tcPr>
          <w:p w:rsidR="006B5753" w:rsidRPr="00EB3F80" w:rsidRDefault="006B5753" w:rsidP="00BA3012">
            <w:pPr>
              <w:rPr>
                <w:sz w:val="26"/>
                <w:szCs w:val="26"/>
              </w:rPr>
            </w:pPr>
          </w:p>
        </w:tc>
      </w:tr>
      <w:tr w:rsidR="006B5753" w:rsidRPr="00EB3F80" w:rsidTr="00BA3012">
        <w:trPr>
          <w:gridAfter w:val="2"/>
          <w:wAfter w:w="828" w:type="dxa"/>
        </w:trPr>
        <w:tc>
          <w:tcPr>
            <w:tcW w:w="5958" w:type="dxa"/>
          </w:tcPr>
          <w:p w:rsidR="006B5753" w:rsidRPr="00EB3F80" w:rsidRDefault="006B5753" w:rsidP="00BA3012">
            <w:pPr>
              <w:rPr>
                <w:sz w:val="26"/>
                <w:szCs w:val="26"/>
              </w:rPr>
            </w:pPr>
            <w:r w:rsidRPr="00EB3F80">
              <w:rPr>
                <w:sz w:val="26"/>
                <w:szCs w:val="26"/>
              </w:rPr>
              <w:t>Implementation of the Alternative Energy Portfolio</w:t>
            </w:r>
          </w:p>
          <w:p w:rsidR="006B5753" w:rsidRPr="00EB3F80" w:rsidRDefault="006B5753" w:rsidP="00BA3012">
            <w:pPr>
              <w:rPr>
                <w:sz w:val="26"/>
                <w:szCs w:val="26"/>
              </w:rPr>
            </w:pPr>
            <w:r w:rsidRPr="00EB3F80">
              <w:rPr>
                <w:sz w:val="26"/>
                <w:szCs w:val="26"/>
              </w:rPr>
              <w:t>Standards Act of 2004:  Standards for the Participation</w:t>
            </w:r>
          </w:p>
          <w:p w:rsidR="006B5753" w:rsidRPr="00EB3F80" w:rsidRDefault="006B5753" w:rsidP="00BA3012">
            <w:pPr>
              <w:rPr>
                <w:sz w:val="26"/>
                <w:szCs w:val="26"/>
              </w:rPr>
            </w:pPr>
            <w:r w:rsidRPr="00EB3F80">
              <w:rPr>
                <w:sz w:val="26"/>
                <w:szCs w:val="26"/>
              </w:rPr>
              <w:t>of Demand Side Management Resources – Technical</w:t>
            </w:r>
          </w:p>
          <w:p w:rsidR="006B5753" w:rsidRPr="00EB3F80" w:rsidRDefault="006B5753" w:rsidP="00BA3012">
            <w:pPr>
              <w:rPr>
                <w:sz w:val="26"/>
                <w:szCs w:val="26"/>
              </w:rPr>
            </w:pPr>
            <w:r w:rsidRPr="00EB3F80">
              <w:rPr>
                <w:sz w:val="26"/>
                <w:szCs w:val="26"/>
              </w:rPr>
              <w:t xml:space="preserve">Reference Manual </w:t>
            </w:r>
            <w:r w:rsidR="00DF0C8D" w:rsidRPr="00EB3F80">
              <w:rPr>
                <w:sz w:val="26"/>
                <w:szCs w:val="26"/>
              </w:rPr>
              <w:t xml:space="preserve">2011 </w:t>
            </w:r>
            <w:r w:rsidRPr="00EB3F80">
              <w:rPr>
                <w:sz w:val="26"/>
                <w:szCs w:val="26"/>
              </w:rPr>
              <w:t>Update</w:t>
            </w:r>
          </w:p>
        </w:tc>
        <w:tc>
          <w:tcPr>
            <w:tcW w:w="3510" w:type="dxa"/>
          </w:tcPr>
          <w:p w:rsidR="006B5753" w:rsidRPr="00EB3F80" w:rsidRDefault="006B5753" w:rsidP="00BA3012">
            <w:pPr>
              <w:rPr>
                <w:sz w:val="26"/>
                <w:szCs w:val="26"/>
              </w:rPr>
            </w:pPr>
            <w:r w:rsidRPr="00EB3F80">
              <w:rPr>
                <w:sz w:val="26"/>
                <w:szCs w:val="26"/>
              </w:rPr>
              <w:t>Docket No.  M</w:t>
            </w:r>
            <w:r w:rsidRPr="00EB3F80">
              <w:rPr>
                <w:sz w:val="26"/>
                <w:szCs w:val="26"/>
              </w:rPr>
              <w:noBreakHyphen/>
              <w:t>00051865</w:t>
            </w:r>
          </w:p>
        </w:tc>
      </w:tr>
    </w:tbl>
    <w:p w:rsidR="006B5753" w:rsidRPr="00EB3F80" w:rsidRDefault="006B5753" w:rsidP="006B5753">
      <w:pPr>
        <w:jc w:val="center"/>
        <w:rPr>
          <w:b/>
          <w:sz w:val="26"/>
          <w:szCs w:val="26"/>
        </w:rPr>
      </w:pPr>
    </w:p>
    <w:p w:rsidR="006B5753" w:rsidRPr="00EB3F80" w:rsidRDefault="006B5753" w:rsidP="006B5753">
      <w:pPr>
        <w:jc w:val="center"/>
        <w:rPr>
          <w:b/>
          <w:sz w:val="26"/>
          <w:szCs w:val="26"/>
        </w:rPr>
      </w:pPr>
    </w:p>
    <w:p w:rsidR="006B5753" w:rsidRPr="00EB3F80" w:rsidRDefault="003771BD" w:rsidP="006B5753">
      <w:pPr>
        <w:spacing w:line="360" w:lineRule="auto"/>
        <w:jc w:val="center"/>
        <w:rPr>
          <w:b/>
          <w:sz w:val="26"/>
          <w:szCs w:val="26"/>
        </w:rPr>
      </w:pPr>
      <w:r w:rsidRPr="00EB3F80">
        <w:rPr>
          <w:b/>
          <w:sz w:val="26"/>
          <w:szCs w:val="26"/>
        </w:rPr>
        <w:t xml:space="preserve">TRM ANNUAL UPDATE </w:t>
      </w:r>
      <w:r w:rsidR="006B5753" w:rsidRPr="00EB3F80">
        <w:rPr>
          <w:b/>
          <w:sz w:val="26"/>
          <w:szCs w:val="26"/>
        </w:rPr>
        <w:t>ORDER</w:t>
      </w:r>
    </w:p>
    <w:p w:rsidR="006B5753" w:rsidRPr="00EB3F80" w:rsidRDefault="006B5753" w:rsidP="006B5753">
      <w:pPr>
        <w:spacing w:line="360" w:lineRule="auto"/>
        <w:jc w:val="center"/>
        <w:rPr>
          <w:b/>
          <w:sz w:val="26"/>
          <w:szCs w:val="26"/>
        </w:rPr>
      </w:pPr>
    </w:p>
    <w:p w:rsidR="006B5753" w:rsidRPr="00EB3F80" w:rsidRDefault="006B5753" w:rsidP="006B5753">
      <w:pPr>
        <w:pStyle w:val="p3"/>
        <w:spacing w:line="360" w:lineRule="auto"/>
        <w:rPr>
          <w:b/>
          <w:sz w:val="26"/>
          <w:szCs w:val="26"/>
        </w:rPr>
      </w:pPr>
      <w:r w:rsidRPr="00EB3F80">
        <w:rPr>
          <w:b/>
          <w:sz w:val="26"/>
          <w:szCs w:val="26"/>
        </w:rPr>
        <w:t>BY THE COMMISSION:</w:t>
      </w:r>
    </w:p>
    <w:p w:rsidR="006B5753" w:rsidRPr="00EB3F80" w:rsidRDefault="006B5753" w:rsidP="006B5753">
      <w:pPr>
        <w:pStyle w:val="p3"/>
        <w:spacing w:line="360" w:lineRule="auto"/>
        <w:rPr>
          <w:b/>
          <w:sz w:val="26"/>
          <w:szCs w:val="26"/>
        </w:rPr>
      </w:pPr>
    </w:p>
    <w:p w:rsidR="006B5753" w:rsidRPr="00EB3F80" w:rsidRDefault="003771BD" w:rsidP="006B5753">
      <w:pPr>
        <w:pStyle w:val="p3"/>
        <w:tabs>
          <w:tab w:val="clear" w:pos="204"/>
        </w:tabs>
        <w:spacing w:line="360" w:lineRule="auto"/>
        <w:ind w:firstLine="720"/>
        <w:rPr>
          <w:sz w:val="26"/>
          <w:szCs w:val="26"/>
        </w:rPr>
      </w:pPr>
      <w:r w:rsidRPr="00EB3F80">
        <w:rPr>
          <w:sz w:val="26"/>
          <w:szCs w:val="26"/>
        </w:rPr>
        <w:t>As explained in ou</w:t>
      </w:r>
      <w:r w:rsidR="006262C1" w:rsidRPr="00EB3F80">
        <w:rPr>
          <w:sz w:val="26"/>
          <w:szCs w:val="26"/>
        </w:rPr>
        <w:t>r</w:t>
      </w:r>
      <w:r w:rsidRPr="00EB3F80">
        <w:rPr>
          <w:sz w:val="26"/>
          <w:szCs w:val="26"/>
        </w:rPr>
        <w:t xml:space="preserve"> prior Order</w:t>
      </w:r>
      <w:r w:rsidR="00407732">
        <w:rPr>
          <w:sz w:val="26"/>
          <w:szCs w:val="26"/>
        </w:rPr>
        <w:t>s</w:t>
      </w:r>
      <w:r w:rsidRPr="00EB3F80">
        <w:rPr>
          <w:sz w:val="26"/>
          <w:szCs w:val="26"/>
        </w:rPr>
        <w:t xml:space="preserve"> at this docket, i</w:t>
      </w:r>
      <w:r w:rsidR="006B5753" w:rsidRPr="00EB3F80">
        <w:rPr>
          <w:sz w:val="26"/>
          <w:szCs w:val="26"/>
        </w:rPr>
        <w:t>n implementing the Alternative Energy Portfolio Standards Act (“AEPS Act”)</w:t>
      </w:r>
      <w:r w:rsidR="00407732">
        <w:rPr>
          <w:sz w:val="26"/>
          <w:szCs w:val="26"/>
        </w:rPr>
        <w:t>, as amended</w:t>
      </w:r>
      <w:r w:rsidR="006B5753" w:rsidRPr="00EB3F80">
        <w:rPr>
          <w:sz w:val="26"/>
          <w:szCs w:val="26"/>
        </w:rPr>
        <w:t>,</w:t>
      </w:r>
      <w:r w:rsidR="00407732">
        <w:rPr>
          <w:rStyle w:val="FootnoteReference"/>
          <w:sz w:val="26"/>
          <w:szCs w:val="26"/>
        </w:rPr>
        <w:footnoteReference w:id="1"/>
      </w:r>
      <w:r w:rsidR="006B5753" w:rsidRPr="00EB3F80">
        <w:rPr>
          <w:sz w:val="26"/>
          <w:szCs w:val="26"/>
        </w:rPr>
        <w:t xml:space="preserve"> this Commission had adopted an </w:t>
      </w:r>
      <w:proofErr w:type="spellStart"/>
      <w:r w:rsidR="006B5753" w:rsidRPr="00EB3F80">
        <w:rPr>
          <w:i/>
          <w:sz w:val="26"/>
          <w:szCs w:val="26"/>
        </w:rPr>
        <w:t>Energy</w:t>
      </w:r>
      <w:r w:rsidR="006B5753" w:rsidRPr="00EB3F80">
        <w:rPr>
          <w:i/>
          <w:sz w:val="26"/>
          <w:szCs w:val="26"/>
        </w:rPr>
        <w:noBreakHyphen/>
        <w:t>Efficiency</w:t>
      </w:r>
      <w:proofErr w:type="spellEnd"/>
      <w:r w:rsidR="006B5753" w:rsidRPr="00EB3F80">
        <w:rPr>
          <w:i/>
          <w:sz w:val="26"/>
          <w:szCs w:val="26"/>
        </w:rPr>
        <w:t xml:space="preserve"> and DSM Rules for Pennsylvania’s Alternative Energy Portfolio Standard, Technical Reference Manual </w:t>
      </w:r>
      <w:r w:rsidR="006B5753" w:rsidRPr="00EB3F80">
        <w:rPr>
          <w:sz w:val="26"/>
          <w:szCs w:val="26"/>
        </w:rPr>
        <w:t>(“TRM”).</w:t>
      </w:r>
      <w:r w:rsidR="006B5753" w:rsidRPr="00EB3F80">
        <w:rPr>
          <w:rStyle w:val="FootnoteReference"/>
          <w:sz w:val="26"/>
          <w:szCs w:val="26"/>
        </w:rPr>
        <w:footnoteReference w:id="2"/>
      </w:r>
      <w:r w:rsidR="006B5753" w:rsidRPr="00EB3F80">
        <w:rPr>
          <w:sz w:val="26"/>
          <w:szCs w:val="26"/>
        </w:rPr>
        <w:t xml:space="preserve">  In adopting the original version of the TRM, this Commission directed the Bureau of Conservation, Economics and Energy Planning (“CEEP”) to oversee the implementation, maintenance and periodic updating of the TRM.</w:t>
      </w:r>
      <w:r w:rsidR="006B5753" w:rsidRPr="00EB3F80">
        <w:rPr>
          <w:rStyle w:val="FootnoteReference"/>
          <w:sz w:val="26"/>
          <w:szCs w:val="26"/>
        </w:rPr>
        <w:footnoteReference w:id="3"/>
      </w:r>
      <w:r w:rsidR="006B5753" w:rsidRPr="00EB3F80">
        <w:rPr>
          <w:sz w:val="26"/>
          <w:szCs w:val="26"/>
        </w:rPr>
        <w:t xml:space="preserve">  Additionally, in the Act 129 </w:t>
      </w:r>
      <w:r w:rsidR="006B5753" w:rsidRPr="00EB3F80">
        <w:rPr>
          <w:i/>
          <w:sz w:val="26"/>
          <w:szCs w:val="26"/>
        </w:rPr>
        <w:t>Energy Efficiency and Conservation Program Implementation Order</w:t>
      </w:r>
      <w:r w:rsidR="006B5753" w:rsidRPr="00EB3F80">
        <w:rPr>
          <w:sz w:val="26"/>
          <w:szCs w:val="26"/>
        </w:rPr>
        <w:t>,</w:t>
      </w:r>
      <w:r w:rsidR="006B5753" w:rsidRPr="00EB3F80">
        <w:rPr>
          <w:rStyle w:val="FootnoteReference"/>
          <w:sz w:val="26"/>
          <w:szCs w:val="26"/>
        </w:rPr>
        <w:footnoteReference w:id="4"/>
      </w:r>
      <w:r w:rsidR="006B5753" w:rsidRPr="00EB3F80">
        <w:rPr>
          <w:sz w:val="26"/>
          <w:szCs w:val="26"/>
        </w:rPr>
        <w:t xml:space="preserve"> this Commission adopted the TRM as a component of the Energy Efficiency and Conservation (“EE&amp;C”) Program evaluation process.  In that </w:t>
      </w:r>
      <w:r w:rsidR="006B5753" w:rsidRPr="00EB3F80">
        <w:rPr>
          <w:i/>
          <w:sz w:val="26"/>
          <w:szCs w:val="26"/>
        </w:rPr>
        <w:lastRenderedPageBreak/>
        <w:t>Implementation Order</w:t>
      </w:r>
      <w:r w:rsidR="006B5753" w:rsidRPr="00EB3F80">
        <w:rPr>
          <w:sz w:val="26"/>
          <w:szCs w:val="26"/>
        </w:rPr>
        <w:t>, this Commission also noted that “as the TRM was initially created to fulfill requirements of the AEPS Act, it will need to be updated and expanded to fulfill the requirements of the EE&amp;C provisions of Act 129.”</w:t>
      </w:r>
      <w:r w:rsidR="006B5753" w:rsidRPr="00EB3F80">
        <w:rPr>
          <w:rStyle w:val="FootnoteReference"/>
          <w:sz w:val="26"/>
          <w:szCs w:val="26"/>
        </w:rPr>
        <w:footnoteReference w:id="5"/>
      </w:r>
      <w:r w:rsidR="006B5753" w:rsidRPr="00EB3F80">
        <w:rPr>
          <w:sz w:val="26"/>
          <w:szCs w:val="26"/>
        </w:rPr>
        <w:t xml:space="preserve">  Soon after the adoption of the EE&amp;C Program </w:t>
      </w:r>
      <w:r w:rsidR="006B5753" w:rsidRPr="00EB3F80">
        <w:rPr>
          <w:i/>
          <w:sz w:val="26"/>
          <w:szCs w:val="26"/>
        </w:rPr>
        <w:t>Implementation Order</w:t>
      </w:r>
      <w:r w:rsidR="006B5753" w:rsidRPr="00EB3F80">
        <w:rPr>
          <w:sz w:val="26"/>
          <w:szCs w:val="26"/>
        </w:rPr>
        <w:t>, Commission staff initiated a collaborative process to review and update the TRM with the purpose of supporting both the AEPS Act and the Act 129 EE&amp;C program that culminated in the adoption of the 2009 version of the TRM at the May 28, 2009 Public Meeting.</w:t>
      </w:r>
      <w:r w:rsidR="006B5753" w:rsidRPr="00EB3F80">
        <w:rPr>
          <w:rStyle w:val="FootnoteReference"/>
          <w:sz w:val="26"/>
          <w:szCs w:val="26"/>
        </w:rPr>
        <w:footnoteReference w:id="6"/>
      </w:r>
      <w:r w:rsidR="006B5753" w:rsidRPr="00EB3F80">
        <w:rPr>
          <w:sz w:val="26"/>
          <w:szCs w:val="26"/>
        </w:rPr>
        <w:t xml:space="preserve">  In adopting the 2009 version of the TRM, the Commission recognized the importance of updating the TRM on an annual basis.</w:t>
      </w:r>
      <w:r w:rsidR="006B5753" w:rsidRPr="00EB3F80">
        <w:rPr>
          <w:rStyle w:val="FootnoteReference"/>
          <w:sz w:val="26"/>
          <w:szCs w:val="26"/>
        </w:rPr>
        <w:footnoteReference w:id="7"/>
      </w:r>
      <w:r w:rsidR="006B5753" w:rsidRPr="00EB3F80">
        <w:rPr>
          <w:sz w:val="26"/>
          <w:szCs w:val="26"/>
        </w:rPr>
        <w:t xml:space="preserve">  </w:t>
      </w:r>
      <w:r w:rsidR="004C72FA">
        <w:rPr>
          <w:sz w:val="26"/>
          <w:szCs w:val="26"/>
        </w:rPr>
        <w:t>The Commission again updated the TRM in 2010 with its adoption of the 2010 version on June 3, 2010.</w:t>
      </w:r>
      <w:r w:rsidR="004C72FA">
        <w:rPr>
          <w:rStyle w:val="FootnoteReference"/>
          <w:sz w:val="26"/>
          <w:szCs w:val="26"/>
        </w:rPr>
        <w:footnoteReference w:id="8"/>
      </w:r>
      <w:r w:rsidR="004C72FA">
        <w:rPr>
          <w:sz w:val="26"/>
          <w:szCs w:val="26"/>
        </w:rPr>
        <w:t xml:space="preserve">  </w:t>
      </w:r>
      <w:r w:rsidR="006B5753" w:rsidRPr="00EB3F80">
        <w:rPr>
          <w:sz w:val="26"/>
          <w:szCs w:val="26"/>
        </w:rPr>
        <w:t xml:space="preserve">With this Order, the Commission completes the annual update of the TRM </w:t>
      </w:r>
      <w:r w:rsidR="003A687D">
        <w:rPr>
          <w:sz w:val="26"/>
          <w:szCs w:val="26"/>
        </w:rPr>
        <w:t xml:space="preserve">for 2011, </w:t>
      </w:r>
      <w:r w:rsidR="006B5753" w:rsidRPr="00EB3F80">
        <w:rPr>
          <w:sz w:val="26"/>
          <w:szCs w:val="26"/>
        </w:rPr>
        <w:t>to be applied beginning with the 201</w:t>
      </w:r>
      <w:r w:rsidR="00BF66F0" w:rsidRPr="00EB3F80">
        <w:rPr>
          <w:sz w:val="26"/>
          <w:szCs w:val="26"/>
        </w:rPr>
        <w:t>1</w:t>
      </w:r>
      <w:r w:rsidR="006B5753" w:rsidRPr="00EB3F80">
        <w:rPr>
          <w:sz w:val="26"/>
          <w:szCs w:val="26"/>
        </w:rPr>
        <w:noBreakHyphen/>
        <w:t>201</w:t>
      </w:r>
      <w:r w:rsidR="00BF66F0" w:rsidRPr="00EB3F80">
        <w:rPr>
          <w:sz w:val="26"/>
          <w:szCs w:val="26"/>
        </w:rPr>
        <w:t>2</w:t>
      </w:r>
      <w:r w:rsidR="006B5753" w:rsidRPr="00EB3F80">
        <w:rPr>
          <w:sz w:val="26"/>
          <w:szCs w:val="26"/>
        </w:rPr>
        <w:t xml:space="preserve"> AEPS Act and Act 129 EE&amp;C program compliance years.</w:t>
      </w:r>
    </w:p>
    <w:p w:rsidR="006B5753" w:rsidRPr="00EB3F80" w:rsidRDefault="006B5753" w:rsidP="006B5753">
      <w:pPr>
        <w:pStyle w:val="p3"/>
        <w:tabs>
          <w:tab w:val="clear" w:pos="204"/>
        </w:tabs>
        <w:spacing w:line="360" w:lineRule="auto"/>
        <w:rPr>
          <w:sz w:val="26"/>
          <w:szCs w:val="26"/>
        </w:rPr>
      </w:pPr>
    </w:p>
    <w:p w:rsidR="006B5753" w:rsidRPr="00EB3F80" w:rsidRDefault="006B5753" w:rsidP="006B5753">
      <w:pPr>
        <w:pStyle w:val="p3"/>
        <w:tabs>
          <w:tab w:val="clear" w:pos="204"/>
        </w:tabs>
        <w:spacing w:line="360" w:lineRule="auto"/>
        <w:jc w:val="center"/>
        <w:rPr>
          <w:b/>
          <w:sz w:val="26"/>
          <w:szCs w:val="26"/>
        </w:rPr>
      </w:pPr>
      <w:r w:rsidRPr="00EB3F80">
        <w:rPr>
          <w:b/>
          <w:sz w:val="26"/>
          <w:szCs w:val="26"/>
        </w:rPr>
        <w:t>BACKGROUND</w:t>
      </w:r>
    </w:p>
    <w:p w:rsidR="006B5753" w:rsidRPr="00EB3F80" w:rsidRDefault="006B5753" w:rsidP="006B5753">
      <w:pPr>
        <w:pStyle w:val="p3"/>
        <w:tabs>
          <w:tab w:val="clear" w:pos="204"/>
        </w:tabs>
        <w:spacing w:line="360" w:lineRule="auto"/>
        <w:rPr>
          <w:b/>
          <w:sz w:val="26"/>
          <w:szCs w:val="26"/>
        </w:rPr>
      </w:pPr>
    </w:p>
    <w:p w:rsidR="006B5753" w:rsidRPr="00EB3F80" w:rsidRDefault="006B5753" w:rsidP="006B5753">
      <w:pPr>
        <w:pStyle w:val="p3"/>
        <w:tabs>
          <w:tab w:val="clear" w:pos="204"/>
        </w:tabs>
        <w:spacing w:line="360" w:lineRule="auto"/>
        <w:ind w:firstLine="720"/>
        <w:rPr>
          <w:sz w:val="26"/>
          <w:szCs w:val="26"/>
        </w:rPr>
      </w:pPr>
      <w:r w:rsidRPr="00EB3F80">
        <w:rPr>
          <w:sz w:val="26"/>
          <w:szCs w:val="26"/>
        </w:rPr>
        <w:t xml:space="preserve">Act 129 of 2008, P.L. 1592, specifically directed this Commission to establish an evaluation process that monitors and verifies data collection, quality assurance and the results of each </w:t>
      </w:r>
      <w:r w:rsidR="00524C27" w:rsidRPr="00EB3F80">
        <w:rPr>
          <w:sz w:val="26"/>
          <w:szCs w:val="26"/>
        </w:rPr>
        <w:t>electric distribution company’s (“EDC”)</w:t>
      </w:r>
      <w:r w:rsidRPr="00EB3F80">
        <w:rPr>
          <w:sz w:val="26"/>
          <w:szCs w:val="26"/>
        </w:rPr>
        <w:t xml:space="preserve"> EE&amp;C plan and the EE&amp;C program as a whole.</w:t>
      </w:r>
      <w:r w:rsidR="003A687D">
        <w:rPr>
          <w:rStyle w:val="FootnoteReference"/>
          <w:sz w:val="26"/>
          <w:szCs w:val="26"/>
        </w:rPr>
        <w:footnoteReference w:id="9"/>
      </w:r>
      <w:r w:rsidRPr="00EB3F80">
        <w:rPr>
          <w:sz w:val="26"/>
          <w:szCs w:val="26"/>
        </w:rPr>
        <w:t xml:space="preserve">  To assist in meeting this obligation, the Commission contracted with GDS </w:t>
      </w:r>
      <w:r w:rsidR="00164D56">
        <w:rPr>
          <w:sz w:val="26"/>
          <w:szCs w:val="26"/>
        </w:rPr>
        <w:t>Associates, Inc. in August 2009</w:t>
      </w:r>
      <w:r w:rsidRPr="00EB3F80">
        <w:rPr>
          <w:sz w:val="26"/>
          <w:szCs w:val="26"/>
        </w:rPr>
        <w:t xml:space="preserve"> to perform these duties as the Act 129 Statewide Evaluator (“SWE”).  As part of its duties</w:t>
      </w:r>
      <w:r w:rsidR="0096221B" w:rsidRPr="00EB3F80">
        <w:rPr>
          <w:sz w:val="26"/>
          <w:szCs w:val="26"/>
        </w:rPr>
        <w:t>,</w:t>
      </w:r>
      <w:r w:rsidRPr="00EB3F80">
        <w:rPr>
          <w:sz w:val="26"/>
          <w:szCs w:val="26"/>
        </w:rPr>
        <w:t xml:space="preserve"> the SWE is to review the TRM and the Total Resource Cost</w:t>
      </w:r>
      <w:r w:rsidR="0096221B" w:rsidRPr="00EB3F80">
        <w:rPr>
          <w:sz w:val="26"/>
          <w:szCs w:val="26"/>
        </w:rPr>
        <w:t xml:space="preserve"> </w:t>
      </w:r>
      <w:r w:rsidRPr="00EB3F80">
        <w:rPr>
          <w:sz w:val="26"/>
          <w:szCs w:val="26"/>
        </w:rPr>
        <w:t xml:space="preserve">Test Manual </w:t>
      </w:r>
      <w:r w:rsidR="00E60566" w:rsidRPr="00EB3F80">
        <w:rPr>
          <w:sz w:val="26"/>
          <w:szCs w:val="26"/>
        </w:rPr>
        <w:t xml:space="preserve">(“TRC”) </w:t>
      </w:r>
      <w:r w:rsidRPr="00EB3F80">
        <w:rPr>
          <w:sz w:val="26"/>
          <w:szCs w:val="26"/>
        </w:rPr>
        <w:t xml:space="preserve">and to provide suggestions for possible </w:t>
      </w:r>
      <w:r w:rsidRPr="00EB3F80">
        <w:rPr>
          <w:sz w:val="26"/>
          <w:szCs w:val="26"/>
        </w:rPr>
        <w:lastRenderedPageBreak/>
        <w:t>revisions and additions to these manuals.  A Technical Working Group (“TWG”)</w:t>
      </w:r>
      <w:r w:rsidRPr="00EB3F80">
        <w:rPr>
          <w:rStyle w:val="FootnoteReference"/>
          <w:sz w:val="26"/>
          <w:szCs w:val="26"/>
        </w:rPr>
        <w:footnoteReference w:id="10"/>
      </w:r>
      <w:r w:rsidRPr="00EB3F80">
        <w:rPr>
          <w:sz w:val="26"/>
          <w:szCs w:val="26"/>
        </w:rPr>
        <w:t xml:space="preserve"> was formed to provide guidance to the SWE in clarifying savings measurement protocols and plans by recommending improvements to the existing TRM and other aspects of the EE&amp;C program.  </w:t>
      </w:r>
    </w:p>
    <w:p w:rsidR="006B5753" w:rsidRPr="00EB3F80" w:rsidRDefault="006B5753" w:rsidP="006B5753">
      <w:pPr>
        <w:pStyle w:val="p3"/>
        <w:tabs>
          <w:tab w:val="clear" w:pos="204"/>
        </w:tabs>
        <w:spacing w:line="360" w:lineRule="auto"/>
        <w:ind w:firstLine="720"/>
        <w:rPr>
          <w:sz w:val="26"/>
          <w:szCs w:val="26"/>
        </w:rPr>
      </w:pPr>
    </w:p>
    <w:p w:rsidR="006B5753" w:rsidRPr="00EB3F80" w:rsidRDefault="006B5753" w:rsidP="006B5753">
      <w:pPr>
        <w:pStyle w:val="p3"/>
        <w:tabs>
          <w:tab w:val="clear" w:pos="204"/>
        </w:tabs>
        <w:spacing w:line="360" w:lineRule="auto"/>
        <w:ind w:firstLine="720"/>
        <w:rPr>
          <w:sz w:val="26"/>
          <w:szCs w:val="26"/>
        </w:rPr>
      </w:pPr>
      <w:r w:rsidRPr="00EB3F80">
        <w:rPr>
          <w:sz w:val="26"/>
          <w:szCs w:val="26"/>
        </w:rPr>
        <w:t xml:space="preserve">The SWE, in </w:t>
      </w:r>
      <w:r w:rsidR="00BF66F0" w:rsidRPr="00EB3F80">
        <w:rPr>
          <w:sz w:val="26"/>
          <w:szCs w:val="26"/>
        </w:rPr>
        <w:t>collaboration</w:t>
      </w:r>
      <w:r w:rsidRPr="00EB3F80">
        <w:rPr>
          <w:sz w:val="26"/>
          <w:szCs w:val="26"/>
        </w:rPr>
        <w:t xml:space="preserve"> with </w:t>
      </w:r>
      <w:r w:rsidR="00CC52AD" w:rsidRPr="00EB3F80">
        <w:rPr>
          <w:sz w:val="26"/>
          <w:szCs w:val="26"/>
        </w:rPr>
        <w:t>the</w:t>
      </w:r>
      <w:r w:rsidRPr="00EB3F80">
        <w:rPr>
          <w:sz w:val="26"/>
          <w:szCs w:val="26"/>
        </w:rPr>
        <w:t xml:space="preserve"> TWG</w:t>
      </w:r>
      <w:r w:rsidR="00BF66F0" w:rsidRPr="00EB3F80">
        <w:rPr>
          <w:sz w:val="26"/>
          <w:szCs w:val="26"/>
        </w:rPr>
        <w:t xml:space="preserve"> and Commission staff</w:t>
      </w:r>
      <w:r w:rsidRPr="00EB3F80">
        <w:rPr>
          <w:sz w:val="26"/>
          <w:szCs w:val="26"/>
        </w:rPr>
        <w:t>, reviewed the 20</w:t>
      </w:r>
      <w:r w:rsidR="00BF66F0" w:rsidRPr="00EB3F80">
        <w:rPr>
          <w:sz w:val="26"/>
          <w:szCs w:val="26"/>
        </w:rPr>
        <w:t>1</w:t>
      </w:r>
      <w:r w:rsidRPr="00EB3F80">
        <w:rPr>
          <w:sz w:val="26"/>
          <w:szCs w:val="26"/>
        </w:rPr>
        <w:t>0 version of the TRM and proposed several changes and additions that were released for comment with th</w:t>
      </w:r>
      <w:r w:rsidR="00E60566">
        <w:rPr>
          <w:sz w:val="26"/>
          <w:szCs w:val="26"/>
        </w:rPr>
        <w:t>e</w:t>
      </w:r>
      <w:r w:rsidRPr="00EB3F80">
        <w:rPr>
          <w:sz w:val="26"/>
          <w:szCs w:val="26"/>
        </w:rPr>
        <w:t xml:space="preserve"> Commission’s adoption of a Tentative Order </w:t>
      </w:r>
      <w:r w:rsidR="00E60566">
        <w:rPr>
          <w:sz w:val="26"/>
          <w:szCs w:val="26"/>
        </w:rPr>
        <w:t>on</w:t>
      </w:r>
      <w:r w:rsidRPr="00EB3F80">
        <w:rPr>
          <w:sz w:val="26"/>
          <w:szCs w:val="26"/>
        </w:rPr>
        <w:t xml:space="preserve"> </w:t>
      </w:r>
      <w:r w:rsidR="001321FB" w:rsidRPr="00EB3F80">
        <w:rPr>
          <w:sz w:val="26"/>
          <w:szCs w:val="26"/>
        </w:rPr>
        <w:t>November 19</w:t>
      </w:r>
      <w:r w:rsidRPr="00EB3F80">
        <w:rPr>
          <w:sz w:val="26"/>
          <w:szCs w:val="26"/>
        </w:rPr>
        <w:t>, 2010.</w:t>
      </w:r>
      <w:r w:rsidRPr="00EB3F80">
        <w:rPr>
          <w:rStyle w:val="FootnoteReference"/>
          <w:sz w:val="26"/>
          <w:szCs w:val="26"/>
        </w:rPr>
        <w:footnoteReference w:id="11"/>
      </w:r>
      <w:r w:rsidRPr="00EB3F80">
        <w:rPr>
          <w:sz w:val="26"/>
          <w:szCs w:val="26"/>
        </w:rPr>
        <w:t xml:space="preserve">  The </w:t>
      </w:r>
      <w:r w:rsidRPr="00EB3F80">
        <w:rPr>
          <w:i/>
          <w:sz w:val="26"/>
          <w:szCs w:val="26"/>
        </w:rPr>
        <w:t>Pennsylvania Bulletin</w:t>
      </w:r>
      <w:r w:rsidRPr="00EB3F80">
        <w:rPr>
          <w:sz w:val="26"/>
          <w:szCs w:val="26"/>
        </w:rPr>
        <w:t xml:space="preserve"> published a Notice of the Tentative Order on </w:t>
      </w:r>
      <w:r w:rsidR="009F34FE">
        <w:rPr>
          <w:sz w:val="26"/>
          <w:szCs w:val="26"/>
        </w:rPr>
        <w:t>December 4, 2010.  Comments were due on December 27, 2010, with reply comments due January 6, 2011.</w:t>
      </w:r>
    </w:p>
    <w:p w:rsidR="006B5753" w:rsidRPr="00EB3F80" w:rsidRDefault="006B5753" w:rsidP="006B5753">
      <w:pPr>
        <w:pStyle w:val="p3"/>
        <w:tabs>
          <w:tab w:val="clear" w:pos="204"/>
        </w:tabs>
        <w:spacing w:line="360" w:lineRule="auto"/>
        <w:ind w:firstLine="720"/>
        <w:rPr>
          <w:sz w:val="26"/>
          <w:szCs w:val="26"/>
        </w:rPr>
      </w:pPr>
    </w:p>
    <w:p w:rsidR="006B5753" w:rsidRPr="00EB3F80" w:rsidRDefault="009F34FE" w:rsidP="006B5753">
      <w:pPr>
        <w:pStyle w:val="p3"/>
        <w:tabs>
          <w:tab w:val="clear" w:pos="204"/>
        </w:tabs>
        <w:spacing w:line="360" w:lineRule="auto"/>
        <w:ind w:firstLine="720"/>
        <w:rPr>
          <w:sz w:val="26"/>
          <w:szCs w:val="26"/>
        </w:rPr>
      </w:pPr>
      <w:r>
        <w:rPr>
          <w:sz w:val="26"/>
          <w:szCs w:val="26"/>
        </w:rPr>
        <w:t>The following parties filed comments to the proposed TRM update:  Citizen Power (“Citizen”); Duquesne Light Co. (“Duquesne”); The Energy Association of Pennsylvania (“EAPA”); Metropolitan Edison Co., Pennsylvania Electric Co., and Pennsylvania Power Co. (collectively “FirstEnergy”); the Office of Consumer Advocate (“OCA”); PECO Energy Co. (“PECO”); PPL Electric Utilities Corp. (“PPL”); and West Penn Power Co. d/b/a Allegheny Power (“Allegheny Power”).  The following parties filed reply comments:  Citizen and PECO.</w:t>
      </w:r>
    </w:p>
    <w:p w:rsidR="006B5753" w:rsidRPr="00EB3F80" w:rsidRDefault="006B5753" w:rsidP="006B5753">
      <w:pPr>
        <w:pStyle w:val="p3"/>
        <w:tabs>
          <w:tab w:val="clear" w:pos="204"/>
        </w:tabs>
        <w:spacing w:line="360" w:lineRule="auto"/>
        <w:ind w:firstLine="720"/>
        <w:rPr>
          <w:b/>
          <w:sz w:val="26"/>
          <w:szCs w:val="26"/>
        </w:rPr>
      </w:pPr>
    </w:p>
    <w:p w:rsidR="006B5753" w:rsidRPr="00EB3F80" w:rsidRDefault="009F34FE" w:rsidP="006B5753">
      <w:pPr>
        <w:pStyle w:val="p3"/>
        <w:tabs>
          <w:tab w:val="clear" w:pos="204"/>
        </w:tabs>
        <w:spacing w:line="360" w:lineRule="auto"/>
        <w:jc w:val="center"/>
        <w:rPr>
          <w:b/>
          <w:sz w:val="26"/>
          <w:szCs w:val="26"/>
        </w:rPr>
      </w:pPr>
      <w:r>
        <w:rPr>
          <w:b/>
          <w:sz w:val="26"/>
          <w:szCs w:val="26"/>
        </w:rPr>
        <w:t>DISCUSSION</w:t>
      </w:r>
    </w:p>
    <w:p w:rsidR="006B5753" w:rsidRPr="00EB3F80" w:rsidRDefault="006B5753" w:rsidP="006B5753">
      <w:pPr>
        <w:pStyle w:val="p3"/>
        <w:tabs>
          <w:tab w:val="clear" w:pos="204"/>
        </w:tabs>
        <w:spacing w:line="360" w:lineRule="auto"/>
        <w:jc w:val="center"/>
        <w:rPr>
          <w:sz w:val="26"/>
          <w:szCs w:val="26"/>
        </w:rPr>
      </w:pPr>
    </w:p>
    <w:p w:rsidR="00212CBC" w:rsidRPr="00EB3F80" w:rsidRDefault="009F34FE" w:rsidP="00212CBC">
      <w:pPr>
        <w:pStyle w:val="p3"/>
        <w:tabs>
          <w:tab w:val="clear" w:pos="204"/>
          <w:tab w:val="left" w:pos="720"/>
        </w:tabs>
        <w:spacing w:line="360" w:lineRule="auto"/>
        <w:ind w:firstLine="720"/>
        <w:rPr>
          <w:sz w:val="26"/>
          <w:szCs w:val="26"/>
        </w:rPr>
      </w:pPr>
      <w:r>
        <w:rPr>
          <w:sz w:val="26"/>
          <w:szCs w:val="26"/>
        </w:rPr>
        <w:t xml:space="preserve">The </w:t>
      </w:r>
      <w:r w:rsidR="00742D2E">
        <w:rPr>
          <w:sz w:val="26"/>
          <w:szCs w:val="26"/>
        </w:rPr>
        <w:t xml:space="preserve">changes and </w:t>
      </w:r>
      <w:r>
        <w:rPr>
          <w:sz w:val="26"/>
          <w:szCs w:val="26"/>
        </w:rPr>
        <w:t>improvements to the TRM are based on more recent research</w:t>
      </w:r>
      <w:r w:rsidR="00742D2E">
        <w:rPr>
          <w:sz w:val="26"/>
          <w:szCs w:val="26"/>
        </w:rPr>
        <w:t xml:space="preserve"> and data</w:t>
      </w:r>
      <w:r>
        <w:rPr>
          <w:sz w:val="26"/>
          <w:szCs w:val="26"/>
        </w:rPr>
        <w:t xml:space="preserve">, as well as the needs and experiences of the EDCs.  The EDCs provided, through the SWE evaluation and verification process, much of the data that forms the basis of the </w:t>
      </w:r>
      <w:r w:rsidR="00742D2E">
        <w:rPr>
          <w:sz w:val="26"/>
          <w:szCs w:val="26"/>
        </w:rPr>
        <w:t>changes and</w:t>
      </w:r>
      <w:r>
        <w:rPr>
          <w:sz w:val="26"/>
          <w:szCs w:val="26"/>
        </w:rPr>
        <w:t xml:space="preserve"> improvements</w:t>
      </w:r>
      <w:r w:rsidR="009A64F0">
        <w:rPr>
          <w:sz w:val="26"/>
          <w:szCs w:val="26"/>
        </w:rPr>
        <w:t xml:space="preserve"> being adopted in the 2011 version of the TRM</w:t>
      </w:r>
      <w:r>
        <w:rPr>
          <w:sz w:val="26"/>
          <w:szCs w:val="26"/>
        </w:rPr>
        <w:t xml:space="preserve">.  Specifically, </w:t>
      </w:r>
      <w:r>
        <w:rPr>
          <w:sz w:val="26"/>
          <w:szCs w:val="26"/>
        </w:rPr>
        <w:lastRenderedPageBreak/>
        <w:t xml:space="preserve">the current </w:t>
      </w:r>
      <w:r w:rsidR="009A64F0">
        <w:rPr>
          <w:sz w:val="26"/>
          <w:szCs w:val="26"/>
        </w:rPr>
        <w:t>changes</w:t>
      </w:r>
      <w:r>
        <w:rPr>
          <w:sz w:val="26"/>
          <w:szCs w:val="26"/>
        </w:rPr>
        <w:t xml:space="preserve"> were the result of SWE site inspections, Conservation Service Provider (“CSP”) comments, independent e</w:t>
      </w:r>
      <w:r w:rsidR="005D58F3">
        <w:rPr>
          <w:sz w:val="26"/>
          <w:szCs w:val="26"/>
        </w:rPr>
        <w:t>valuations</w:t>
      </w:r>
      <w:r>
        <w:rPr>
          <w:sz w:val="26"/>
          <w:szCs w:val="26"/>
        </w:rPr>
        <w:t xml:space="preserve"> and EDC proposals for new EE&amp;C measures.  The </w:t>
      </w:r>
      <w:r w:rsidR="009A64F0">
        <w:rPr>
          <w:sz w:val="26"/>
          <w:szCs w:val="26"/>
        </w:rPr>
        <w:t>adopted changes</w:t>
      </w:r>
      <w:r>
        <w:rPr>
          <w:sz w:val="26"/>
          <w:szCs w:val="26"/>
        </w:rPr>
        <w:t xml:space="preserve"> focus on protocols for additional residential, and </w:t>
      </w:r>
      <w:r w:rsidR="009A64F0">
        <w:rPr>
          <w:sz w:val="26"/>
          <w:szCs w:val="26"/>
        </w:rPr>
        <w:t>c</w:t>
      </w:r>
      <w:r>
        <w:rPr>
          <w:sz w:val="26"/>
          <w:szCs w:val="26"/>
        </w:rPr>
        <w:t xml:space="preserve">ommercial and </w:t>
      </w:r>
      <w:r w:rsidR="009A64F0">
        <w:rPr>
          <w:sz w:val="26"/>
          <w:szCs w:val="26"/>
        </w:rPr>
        <w:t>i</w:t>
      </w:r>
      <w:r>
        <w:rPr>
          <w:sz w:val="26"/>
          <w:szCs w:val="26"/>
        </w:rPr>
        <w:t xml:space="preserve">ndustrial (“C&amp;I”) EE&amp;C measures and clarify when the TRM is to be used and applied.  The Commission believes that these </w:t>
      </w:r>
      <w:r w:rsidR="009A64F0">
        <w:rPr>
          <w:sz w:val="26"/>
          <w:szCs w:val="26"/>
        </w:rPr>
        <w:t>adopted</w:t>
      </w:r>
      <w:r>
        <w:rPr>
          <w:sz w:val="26"/>
          <w:szCs w:val="26"/>
        </w:rPr>
        <w:t xml:space="preserve"> changes will make the TRM a more effective and professional tool for validating energy savings and providing support for the Act 129 goals.  The major goals of the </w:t>
      </w:r>
      <w:r w:rsidR="009A64F0">
        <w:rPr>
          <w:sz w:val="26"/>
          <w:szCs w:val="26"/>
        </w:rPr>
        <w:t>adopted changes</w:t>
      </w:r>
      <w:r>
        <w:rPr>
          <w:sz w:val="26"/>
          <w:szCs w:val="26"/>
        </w:rPr>
        <w:t xml:space="preserve"> are as follows:</w:t>
      </w:r>
    </w:p>
    <w:p w:rsidR="006B5753" w:rsidRPr="00EB3F80" w:rsidRDefault="006B5753" w:rsidP="006B5753">
      <w:pPr>
        <w:pStyle w:val="p3"/>
        <w:tabs>
          <w:tab w:val="clear" w:pos="204"/>
        </w:tabs>
        <w:rPr>
          <w:sz w:val="26"/>
          <w:szCs w:val="26"/>
        </w:rPr>
      </w:pPr>
    </w:p>
    <w:p w:rsidR="00212CBC" w:rsidRPr="00EB3F80" w:rsidRDefault="009F34FE" w:rsidP="00A003A0">
      <w:pPr>
        <w:numPr>
          <w:ilvl w:val="0"/>
          <w:numId w:val="2"/>
        </w:numPr>
        <w:tabs>
          <w:tab w:val="clear" w:pos="720"/>
          <w:tab w:val="num" w:pos="1440"/>
        </w:tabs>
        <w:ind w:left="1440"/>
        <w:textAlignment w:val="auto"/>
        <w:rPr>
          <w:sz w:val="26"/>
          <w:szCs w:val="26"/>
        </w:rPr>
      </w:pPr>
      <w:r>
        <w:rPr>
          <w:sz w:val="26"/>
          <w:szCs w:val="26"/>
        </w:rPr>
        <w:t>To add additional measures that were not in the 2010 TRM to cover additional EE&amp;C measures being implemented by the EDCs and to broaden the scope of the TRM;</w:t>
      </w:r>
    </w:p>
    <w:p w:rsidR="00212CBC" w:rsidRPr="00EB3F80" w:rsidRDefault="009F34FE" w:rsidP="00A003A0">
      <w:pPr>
        <w:numPr>
          <w:ilvl w:val="0"/>
          <w:numId w:val="2"/>
        </w:numPr>
        <w:tabs>
          <w:tab w:val="clear" w:pos="720"/>
          <w:tab w:val="num" w:pos="1440"/>
        </w:tabs>
        <w:ind w:left="1440"/>
        <w:textAlignment w:val="auto"/>
        <w:rPr>
          <w:sz w:val="26"/>
          <w:szCs w:val="26"/>
        </w:rPr>
      </w:pPr>
      <w:r>
        <w:rPr>
          <w:sz w:val="26"/>
          <w:szCs w:val="26"/>
        </w:rPr>
        <w:t>To appropriately balance the integrity and accuracy of claimed energy savings estimates with costs incurred to measure and verify the claimed energy savings;</w:t>
      </w:r>
    </w:p>
    <w:p w:rsidR="00212CBC" w:rsidRPr="00EB3F80" w:rsidRDefault="009F34FE" w:rsidP="00A003A0">
      <w:pPr>
        <w:numPr>
          <w:ilvl w:val="0"/>
          <w:numId w:val="2"/>
        </w:numPr>
        <w:tabs>
          <w:tab w:val="clear" w:pos="720"/>
          <w:tab w:val="num" w:pos="1440"/>
        </w:tabs>
        <w:ind w:left="1440"/>
        <w:textAlignment w:val="auto"/>
        <w:rPr>
          <w:sz w:val="26"/>
          <w:szCs w:val="26"/>
        </w:rPr>
      </w:pPr>
      <w:r>
        <w:rPr>
          <w:sz w:val="26"/>
          <w:szCs w:val="26"/>
        </w:rPr>
        <w:t>To clarify existing calculation methods;</w:t>
      </w:r>
    </w:p>
    <w:p w:rsidR="00212CBC" w:rsidRPr="00EB3F80" w:rsidRDefault="009F34FE" w:rsidP="00A003A0">
      <w:pPr>
        <w:numPr>
          <w:ilvl w:val="0"/>
          <w:numId w:val="2"/>
        </w:numPr>
        <w:tabs>
          <w:tab w:val="clear" w:pos="720"/>
          <w:tab w:val="num" w:pos="1440"/>
        </w:tabs>
        <w:ind w:left="1440"/>
        <w:textAlignment w:val="auto"/>
        <w:rPr>
          <w:sz w:val="26"/>
          <w:szCs w:val="26"/>
        </w:rPr>
      </w:pPr>
      <w:r>
        <w:rPr>
          <w:sz w:val="26"/>
          <w:szCs w:val="26"/>
        </w:rPr>
        <w:t>To minimize the number of EE&amp;C measures that must be evaluated through custom protocols;</w:t>
      </w:r>
    </w:p>
    <w:p w:rsidR="00212CBC" w:rsidRPr="00EB3F80" w:rsidRDefault="009F34FE" w:rsidP="00A003A0">
      <w:pPr>
        <w:numPr>
          <w:ilvl w:val="0"/>
          <w:numId w:val="2"/>
        </w:numPr>
        <w:tabs>
          <w:tab w:val="clear" w:pos="720"/>
          <w:tab w:val="num" w:pos="1440"/>
        </w:tabs>
        <w:ind w:left="1440"/>
        <w:textAlignment w:val="auto"/>
        <w:rPr>
          <w:sz w:val="26"/>
          <w:szCs w:val="26"/>
        </w:rPr>
      </w:pPr>
      <w:r>
        <w:rPr>
          <w:sz w:val="26"/>
          <w:szCs w:val="26"/>
        </w:rPr>
        <w:t>To improve the functionality and scope of the TRM Appendix C (Lighting Inventory Tool) and Appendix D (Motor and Variable Frequency Drive Inventory Tool); and</w:t>
      </w:r>
    </w:p>
    <w:p w:rsidR="00212CBC" w:rsidRPr="00EB3F80" w:rsidRDefault="009F34FE" w:rsidP="00A003A0">
      <w:pPr>
        <w:pStyle w:val="p14"/>
        <w:numPr>
          <w:ilvl w:val="0"/>
          <w:numId w:val="2"/>
        </w:numPr>
        <w:tabs>
          <w:tab w:val="clear" w:pos="720"/>
          <w:tab w:val="num" w:pos="1440"/>
        </w:tabs>
        <w:ind w:left="1440"/>
        <w:rPr>
          <w:sz w:val="26"/>
          <w:szCs w:val="26"/>
        </w:rPr>
      </w:pPr>
      <w:r>
        <w:rPr>
          <w:sz w:val="26"/>
          <w:szCs w:val="26"/>
        </w:rPr>
        <w:t>To provide additional reasonable methods for measurement and verification of incremental energy savings associated with EE&amp;C measures without unduly burdening EDC EE&amp;C program and evaluation staff.</w:t>
      </w:r>
    </w:p>
    <w:p w:rsidR="006B5753" w:rsidRPr="00EB3F80" w:rsidRDefault="006B5753" w:rsidP="006B5753">
      <w:pPr>
        <w:pStyle w:val="p14"/>
        <w:rPr>
          <w:sz w:val="26"/>
          <w:szCs w:val="26"/>
        </w:rPr>
      </w:pPr>
    </w:p>
    <w:p w:rsidR="006B5753" w:rsidRDefault="009A3B83" w:rsidP="006B5753">
      <w:pPr>
        <w:pStyle w:val="p14"/>
        <w:spacing w:line="360" w:lineRule="auto"/>
        <w:ind w:firstLine="720"/>
        <w:rPr>
          <w:sz w:val="26"/>
          <w:szCs w:val="26"/>
        </w:rPr>
      </w:pPr>
      <w:r>
        <w:rPr>
          <w:sz w:val="26"/>
          <w:szCs w:val="26"/>
        </w:rPr>
        <w:t xml:space="preserve">Below, </w:t>
      </w:r>
      <w:r w:rsidR="007D32FE">
        <w:rPr>
          <w:sz w:val="26"/>
          <w:szCs w:val="26"/>
        </w:rPr>
        <w:t xml:space="preserve">we will discuss in more detail the </w:t>
      </w:r>
      <w:r>
        <w:rPr>
          <w:sz w:val="26"/>
          <w:szCs w:val="26"/>
        </w:rPr>
        <w:t xml:space="preserve">more significant TRM changes and updates </w:t>
      </w:r>
      <w:r w:rsidR="007D32FE">
        <w:rPr>
          <w:sz w:val="26"/>
          <w:szCs w:val="26"/>
        </w:rPr>
        <w:t>that are being adopted</w:t>
      </w:r>
      <w:r w:rsidR="009F34FE">
        <w:rPr>
          <w:sz w:val="26"/>
          <w:szCs w:val="26"/>
        </w:rPr>
        <w:t xml:space="preserve">.  Minor administrative changes will not be discussed.  </w:t>
      </w:r>
    </w:p>
    <w:p w:rsidR="00A976AB" w:rsidRDefault="00A976AB" w:rsidP="006B5753">
      <w:pPr>
        <w:pStyle w:val="p14"/>
        <w:spacing w:line="360" w:lineRule="auto"/>
        <w:ind w:firstLine="720"/>
        <w:rPr>
          <w:sz w:val="26"/>
          <w:szCs w:val="26"/>
        </w:rPr>
      </w:pPr>
    </w:p>
    <w:p w:rsidR="006B5753" w:rsidRPr="00EB3F80" w:rsidRDefault="005C0D72" w:rsidP="0052550D">
      <w:pPr>
        <w:pStyle w:val="p3"/>
        <w:numPr>
          <w:ilvl w:val="0"/>
          <w:numId w:val="1"/>
        </w:numPr>
        <w:tabs>
          <w:tab w:val="clear" w:pos="204"/>
        </w:tabs>
        <w:spacing w:line="360" w:lineRule="auto"/>
        <w:rPr>
          <w:b/>
          <w:sz w:val="26"/>
          <w:szCs w:val="26"/>
        </w:rPr>
      </w:pPr>
      <w:r w:rsidRPr="00EB3F80">
        <w:rPr>
          <w:b/>
          <w:sz w:val="26"/>
          <w:szCs w:val="26"/>
        </w:rPr>
        <w:t>Additional Residential EE&amp;C Measure Protocols</w:t>
      </w:r>
    </w:p>
    <w:p w:rsidR="006B5753" w:rsidRPr="00EB3F80" w:rsidRDefault="006B5753" w:rsidP="006B5753">
      <w:pPr>
        <w:pStyle w:val="p3"/>
        <w:tabs>
          <w:tab w:val="clear" w:pos="204"/>
        </w:tabs>
        <w:spacing w:line="360" w:lineRule="auto"/>
        <w:rPr>
          <w:b/>
          <w:sz w:val="26"/>
          <w:szCs w:val="26"/>
        </w:rPr>
      </w:pPr>
    </w:p>
    <w:p w:rsidR="005C0D72" w:rsidRPr="00EB3F80" w:rsidRDefault="005C0D72" w:rsidP="005C0D72">
      <w:pPr>
        <w:pStyle w:val="p14"/>
        <w:spacing w:line="360" w:lineRule="auto"/>
        <w:ind w:firstLine="720"/>
        <w:rPr>
          <w:sz w:val="26"/>
          <w:szCs w:val="26"/>
        </w:rPr>
      </w:pPr>
      <w:r w:rsidRPr="00EB3F80">
        <w:rPr>
          <w:sz w:val="26"/>
          <w:szCs w:val="26"/>
        </w:rPr>
        <w:t>The Commission understands that the expansion of the residential section of the TRM is essential for the accurate</w:t>
      </w:r>
      <w:r w:rsidR="00DE4B3C">
        <w:rPr>
          <w:sz w:val="26"/>
          <w:szCs w:val="26"/>
        </w:rPr>
        <w:t>,</w:t>
      </w:r>
      <w:r w:rsidRPr="00EB3F80">
        <w:rPr>
          <w:sz w:val="26"/>
          <w:szCs w:val="26"/>
        </w:rPr>
        <w:t xml:space="preserve"> timely </w:t>
      </w:r>
      <w:r w:rsidR="00DE4B3C">
        <w:rPr>
          <w:sz w:val="26"/>
          <w:szCs w:val="26"/>
        </w:rPr>
        <w:t xml:space="preserve">and cost-effective </w:t>
      </w:r>
      <w:r w:rsidRPr="00EB3F80">
        <w:rPr>
          <w:sz w:val="26"/>
          <w:szCs w:val="26"/>
        </w:rPr>
        <w:t xml:space="preserve">measurement and verification of the EDCs’ </w:t>
      </w:r>
      <w:r w:rsidR="00DE4B3C">
        <w:rPr>
          <w:sz w:val="26"/>
          <w:szCs w:val="26"/>
        </w:rPr>
        <w:t>EE&amp;C</w:t>
      </w:r>
      <w:r w:rsidRPr="00EB3F80">
        <w:rPr>
          <w:sz w:val="26"/>
          <w:szCs w:val="26"/>
        </w:rPr>
        <w:t xml:space="preserve"> programs.  This update to the TRM includes the addition of 18 new residential EE&amp;C measure protocols, many of which are measures that constitute a large portion of the EDCs’ reported energy and demand savings.  The EDCs’ independent </w:t>
      </w:r>
      <w:r w:rsidRPr="00EB3F80">
        <w:rPr>
          <w:sz w:val="26"/>
          <w:szCs w:val="26"/>
        </w:rPr>
        <w:lastRenderedPageBreak/>
        <w:t xml:space="preserve">evaluators, in collaboration with the SWE, produced, reviewed and edited these new residential EE&amp;C measure protocols.  The following new residential EE&amp;C measures and associated protocols are being </w:t>
      </w:r>
      <w:r w:rsidR="00DE4B3C">
        <w:rPr>
          <w:sz w:val="26"/>
          <w:szCs w:val="26"/>
        </w:rPr>
        <w:t>adopted in</w:t>
      </w:r>
      <w:r w:rsidRPr="00EB3F80">
        <w:rPr>
          <w:sz w:val="26"/>
          <w:szCs w:val="26"/>
        </w:rPr>
        <w:t xml:space="preserve"> the 2011 TRM update:</w:t>
      </w:r>
    </w:p>
    <w:p w:rsidR="005C0D72" w:rsidRPr="00EB3F80" w:rsidRDefault="005C0D72" w:rsidP="005C0D72">
      <w:pPr>
        <w:pStyle w:val="p14"/>
        <w:ind w:firstLine="720"/>
        <w:rPr>
          <w:sz w:val="26"/>
          <w:szCs w:val="26"/>
        </w:rPr>
      </w:pP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Ceiling/Attic and Wall Insulation;</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Electric Clothes Dryer with Moisture Sensor;</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Ductless Mini-Split Heat Pumps;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Efficient Electric Water Heaters;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Electroluminescent Nightlights;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LED Nightlights;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ENERGY STAR Televisions;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Furnace Whistles;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Heat Pump Water Heaters;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Home Audit Conservation Kits;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Low Flow Faucet Aerators;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Low Flow Showerheads;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Programmable Setback Thermostats;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Room Air</w:t>
      </w:r>
      <w:r w:rsidR="00764E9B">
        <w:rPr>
          <w:sz w:val="26"/>
          <w:szCs w:val="26"/>
        </w:rPr>
        <w:t xml:space="preserve"> </w:t>
      </w:r>
      <w:r w:rsidRPr="00EB3F80">
        <w:rPr>
          <w:sz w:val="26"/>
          <w:szCs w:val="26"/>
        </w:rPr>
        <w:t>Conditioner Retirement;</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Smart-Strip Plug Outlets;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Solar Water Heaters;</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Water Heater Pipe Insulation; and</w:t>
      </w:r>
    </w:p>
    <w:p w:rsidR="005C0D72" w:rsidRPr="00EB3F80" w:rsidRDefault="005C0D72" w:rsidP="0052550D">
      <w:pPr>
        <w:pStyle w:val="p3"/>
        <w:numPr>
          <w:ilvl w:val="0"/>
          <w:numId w:val="3"/>
        </w:numPr>
        <w:tabs>
          <w:tab w:val="clear" w:pos="204"/>
          <w:tab w:val="left" w:pos="720"/>
        </w:tabs>
        <w:rPr>
          <w:sz w:val="26"/>
          <w:szCs w:val="26"/>
        </w:rPr>
      </w:pPr>
      <w:r w:rsidRPr="00EB3F80">
        <w:rPr>
          <w:sz w:val="26"/>
          <w:szCs w:val="26"/>
        </w:rPr>
        <w:t>Whole House Fans.</w:t>
      </w:r>
    </w:p>
    <w:p w:rsidR="00535EB6" w:rsidRPr="00EB3F80" w:rsidRDefault="00535EB6" w:rsidP="00CC769C">
      <w:pPr>
        <w:spacing w:line="360" w:lineRule="auto"/>
        <w:ind w:firstLine="720"/>
        <w:rPr>
          <w:sz w:val="26"/>
          <w:szCs w:val="26"/>
        </w:rPr>
      </w:pPr>
    </w:p>
    <w:p w:rsidR="00CC769C" w:rsidRPr="00EB3F80" w:rsidRDefault="00CC769C" w:rsidP="00535EB6">
      <w:pPr>
        <w:spacing w:line="360" w:lineRule="auto"/>
        <w:ind w:firstLine="720"/>
        <w:rPr>
          <w:sz w:val="26"/>
          <w:szCs w:val="26"/>
        </w:rPr>
      </w:pPr>
      <w:r w:rsidRPr="00EB3F80">
        <w:rPr>
          <w:sz w:val="26"/>
          <w:szCs w:val="26"/>
        </w:rPr>
        <w:t>Of the eighteen new residential measures</w:t>
      </w:r>
      <w:r w:rsidR="00DF73A4">
        <w:rPr>
          <w:sz w:val="26"/>
          <w:szCs w:val="26"/>
        </w:rPr>
        <w:t xml:space="preserve"> proposed in the</w:t>
      </w:r>
      <w:r w:rsidR="000E79FE">
        <w:rPr>
          <w:sz w:val="26"/>
          <w:szCs w:val="26"/>
        </w:rPr>
        <w:t xml:space="preserve"> Tentative Order</w:t>
      </w:r>
      <w:r w:rsidRPr="00EB3F80">
        <w:rPr>
          <w:sz w:val="26"/>
          <w:szCs w:val="26"/>
        </w:rPr>
        <w:t>, comments were received on seven.</w:t>
      </w:r>
      <w:r w:rsidR="00535EB6" w:rsidRPr="00EB3F80">
        <w:rPr>
          <w:sz w:val="26"/>
          <w:szCs w:val="26"/>
        </w:rPr>
        <w:t xml:space="preserve">  </w:t>
      </w:r>
      <w:r w:rsidR="00575EAD">
        <w:rPr>
          <w:sz w:val="26"/>
          <w:szCs w:val="26"/>
        </w:rPr>
        <w:t>Duquesne commented that it agreed with adding new residential and C&amp;I energy efficiency measures</w:t>
      </w:r>
      <w:r w:rsidR="007E4619">
        <w:rPr>
          <w:sz w:val="26"/>
          <w:szCs w:val="26"/>
        </w:rPr>
        <w:t>, noting that they were appropriate, as with the clarifications contained in the 2011 TRM</w:t>
      </w:r>
      <w:r w:rsidR="007D32FE">
        <w:rPr>
          <w:sz w:val="26"/>
          <w:szCs w:val="26"/>
        </w:rPr>
        <w:t>.</w:t>
      </w:r>
      <w:r w:rsidR="007E4619">
        <w:rPr>
          <w:sz w:val="26"/>
          <w:szCs w:val="26"/>
        </w:rPr>
        <w:t xml:space="preserve">  </w:t>
      </w:r>
      <w:proofErr w:type="gramStart"/>
      <w:r w:rsidR="007E4619">
        <w:rPr>
          <w:sz w:val="26"/>
          <w:szCs w:val="26"/>
        </w:rPr>
        <w:t>(Duquesne Comments at 6.)</w:t>
      </w:r>
      <w:proofErr w:type="gramEnd"/>
      <w:r w:rsidR="007E4619">
        <w:rPr>
          <w:sz w:val="26"/>
          <w:szCs w:val="26"/>
        </w:rPr>
        <w:t xml:space="preserve">  PECO and PPL also commented on several of the new residential measures, providing edits and suggested substantive changes to </w:t>
      </w:r>
      <w:r w:rsidR="0077437D">
        <w:rPr>
          <w:sz w:val="26"/>
          <w:szCs w:val="26"/>
        </w:rPr>
        <w:t xml:space="preserve">some of the new measures.  </w:t>
      </w:r>
      <w:r w:rsidR="00966CAA">
        <w:rPr>
          <w:sz w:val="26"/>
          <w:szCs w:val="26"/>
        </w:rPr>
        <w:t>The comments for the low flow faucet aerators, room air conditioner retirement, water heater pipe insulation and whole house fan protocols were editorial</w:t>
      </w:r>
      <w:r w:rsidR="007D32FE">
        <w:rPr>
          <w:sz w:val="26"/>
          <w:szCs w:val="26"/>
        </w:rPr>
        <w:t xml:space="preserve"> and we have</w:t>
      </w:r>
      <w:r w:rsidR="00966CAA">
        <w:rPr>
          <w:sz w:val="26"/>
          <w:szCs w:val="26"/>
        </w:rPr>
        <w:t xml:space="preserve"> accepted these changes and the TRM</w:t>
      </w:r>
      <w:r w:rsidR="007D32FE">
        <w:rPr>
          <w:sz w:val="26"/>
          <w:szCs w:val="26"/>
        </w:rPr>
        <w:t xml:space="preserve"> has been updated accordingly.</w:t>
      </w:r>
    </w:p>
    <w:p w:rsidR="00E32EBB" w:rsidRDefault="00E32EBB" w:rsidP="00E32EBB">
      <w:pPr>
        <w:spacing w:line="360" w:lineRule="auto"/>
        <w:ind w:left="720"/>
        <w:rPr>
          <w:sz w:val="26"/>
          <w:szCs w:val="26"/>
        </w:rPr>
      </w:pPr>
    </w:p>
    <w:p w:rsidR="00A003A0" w:rsidRPr="00EB3F80" w:rsidRDefault="00A003A0" w:rsidP="00E32EBB">
      <w:pPr>
        <w:spacing w:line="360" w:lineRule="auto"/>
        <w:ind w:left="720"/>
        <w:rPr>
          <w:sz w:val="26"/>
          <w:szCs w:val="26"/>
        </w:rPr>
      </w:pPr>
    </w:p>
    <w:p w:rsidR="00C223E5" w:rsidRPr="00EB3F80" w:rsidRDefault="00C223E5" w:rsidP="0052550D">
      <w:pPr>
        <w:pStyle w:val="ListParagraph"/>
        <w:numPr>
          <w:ilvl w:val="0"/>
          <w:numId w:val="7"/>
        </w:numPr>
        <w:spacing w:line="360" w:lineRule="auto"/>
        <w:ind w:left="1440" w:hanging="720"/>
        <w:rPr>
          <w:b/>
          <w:sz w:val="26"/>
          <w:szCs w:val="26"/>
        </w:rPr>
      </w:pPr>
      <w:r w:rsidRPr="00EB3F80">
        <w:rPr>
          <w:b/>
          <w:sz w:val="26"/>
          <w:szCs w:val="26"/>
        </w:rPr>
        <w:lastRenderedPageBreak/>
        <w:t>Ceiling</w:t>
      </w:r>
      <w:r w:rsidR="0021663E">
        <w:rPr>
          <w:b/>
          <w:sz w:val="26"/>
          <w:szCs w:val="26"/>
        </w:rPr>
        <w:t xml:space="preserve">, </w:t>
      </w:r>
      <w:r w:rsidRPr="00EB3F80">
        <w:rPr>
          <w:b/>
          <w:sz w:val="26"/>
          <w:szCs w:val="26"/>
        </w:rPr>
        <w:t>Attic and Wall Insulation</w:t>
      </w:r>
    </w:p>
    <w:p w:rsidR="00C223E5" w:rsidRPr="00EB3F80" w:rsidRDefault="00C223E5" w:rsidP="00C223E5">
      <w:pPr>
        <w:spacing w:line="360" w:lineRule="auto"/>
        <w:ind w:left="360"/>
        <w:rPr>
          <w:b/>
          <w:sz w:val="26"/>
          <w:szCs w:val="26"/>
        </w:rPr>
      </w:pPr>
    </w:p>
    <w:p w:rsidR="00C223E5" w:rsidRPr="00EB3F80" w:rsidRDefault="00C223E5" w:rsidP="00C223E5">
      <w:pPr>
        <w:spacing w:line="360" w:lineRule="auto"/>
        <w:ind w:firstLine="720"/>
        <w:rPr>
          <w:sz w:val="26"/>
          <w:szCs w:val="26"/>
        </w:rPr>
      </w:pPr>
      <w:r w:rsidRPr="00EB3F80">
        <w:rPr>
          <w:sz w:val="26"/>
          <w:szCs w:val="26"/>
        </w:rPr>
        <w:t>This measure applies to</w:t>
      </w:r>
      <w:r w:rsidR="0010293A" w:rsidRPr="00EB3F80">
        <w:rPr>
          <w:sz w:val="26"/>
          <w:szCs w:val="26"/>
        </w:rPr>
        <w:t xml:space="preserve"> the</w:t>
      </w:r>
      <w:r w:rsidRPr="00EB3F80">
        <w:rPr>
          <w:sz w:val="26"/>
          <w:szCs w:val="26"/>
        </w:rPr>
        <w:t xml:space="preserve"> installation</w:t>
      </w:r>
      <w:r w:rsidR="00D218DF">
        <w:rPr>
          <w:sz w:val="26"/>
          <w:szCs w:val="26"/>
        </w:rPr>
        <w:t xml:space="preserve"> or </w:t>
      </w:r>
      <w:r w:rsidRPr="00EB3F80">
        <w:rPr>
          <w:sz w:val="26"/>
          <w:szCs w:val="26"/>
        </w:rPr>
        <w:t>retrofit of new or additional insulation in a ceiling</w:t>
      </w:r>
      <w:r w:rsidR="00D218DF">
        <w:rPr>
          <w:sz w:val="26"/>
          <w:szCs w:val="26"/>
        </w:rPr>
        <w:t xml:space="preserve">, </w:t>
      </w:r>
      <w:r w:rsidRPr="00EB3F80">
        <w:rPr>
          <w:sz w:val="26"/>
          <w:szCs w:val="26"/>
        </w:rPr>
        <w:t>attic, or walls of existing residential homes with a primary electric heating and/or cooling source.  The installation must achieve a finished ceiling</w:t>
      </w:r>
      <w:r w:rsidR="00DF5AF8">
        <w:rPr>
          <w:sz w:val="26"/>
          <w:szCs w:val="26"/>
        </w:rPr>
        <w:t xml:space="preserve"> or </w:t>
      </w:r>
      <w:r w:rsidRPr="00EB3F80">
        <w:rPr>
          <w:sz w:val="26"/>
          <w:szCs w:val="26"/>
        </w:rPr>
        <w:t>attic insulation rating of R-38 or higher, and</w:t>
      </w:r>
      <w:r w:rsidR="00DF5AF8">
        <w:rPr>
          <w:sz w:val="26"/>
          <w:szCs w:val="26"/>
        </w:rPr>
        <w:t xml:space="preserve"> the</w:t>
      </w:r>
      <w:r w:rsidRPr="00EB3F80">
        <w:rPr>
          <w:sz w:val="26"/>
          <w:szCs w:val="26"/>
        </w:rPr>
        <w:t xml:space="preserve"> wall insulation </w:t>
      </w:r>
      <w:r w:rsidR="00DF5AF8">
        <w:rPr>
          <w:sz w:val="26"/>
          <w:szCs w:val="26"/>
        </w:rPr>
        <w:t>must be</w:t>
      </w:r>
      <w:r w:rsidRPr="00EB3F80">
        <w:rPr>
          <w:sz w:val="26"/>
          <w:szCs w:val="26"/>
        </w:rPr>
        <w:t xml:space="preserve"> an R-6 or greater rating.</w:t>
      </w:r>
    </w:p>
    <w:p w:rsidR="001F01D3" w:rsidRPr="00EB3F80" w:rsidRDefault="001F01D3" w:rsidP="00C223E5">
      <w:pPr>
        <w:spacing w:line="360" w:lineRule="auto"/>
        <w:ind w:firstLine="720"/>
        <w:rPr>
          <w:sz w:val="26"/>
          <w:szCs w:val="26"/>
        </w:rPr>
      </w:pPr>
    </w:p>
    <w:p w:rsidR="001F01D3" w:rsidRPr="00B23C45" w:rsidRDefault="001F01D3" w:rsidP="0052550D">
      <w:pPr>
        <w:pStyle w:val="ListParagraph"/>
        <w:numPr>
          <w:ilvl w:val="1"/>
          <w:numId w:val="7"/>
        </w:numPr>
        <w:spacing w:line="360" w:lineRule="auto"/>
        <w:ind w:left="2160" w:hanging="720"/>
        <w:rPr>
          <w:b/>
          <w:sz w:val="26"/>
          <w:szCs w:val="26"/>
        </w:rPr>
      </w:pPr>
      <w:r w:rsidRPr="00B23C45">
        <w:rPr>
          <w:b/>
          <w:sz w:val="26"/>
          <w:szCs w:val="26"/>
        </w:rPr>
        <w:t>Comments</w:t>
      </w:r>
    </w:p>
    <w:p w:rsidR="001F01D3" w:rsidRPr="00EB3F80" w:rsidRDefault="001F01D3" w:rsidP="00C223E5">
      <w:pPr>
        <w:spacing w:line="360" w:lineRule="auto"/>
        <w:ind w:firstLine="720"/>
        <w:rPr>
          <w:b/>
          <w:sz w:val="26"/>
          <w:szCs w:val="26"/>
        </w:rPr>
      </w:pPr>
    </w:p>
    <w:p w:rsidR="001F01D3" w:rsidRPr="00EB3F80" w:rsidRDefault="001F01D3" w:rsidP="001F01D3">
      <w:pPr>
        <w:spacing w:line="360" w:lineRule="auto"/>
        <w:ind w:firstLine="720"/>
        <w:rPr>
          <w:sz w:val="26"/>
          <w:szCs w:val="26"/>
        </w:rPr>
      </w:pPr>
      <w:r w:rsidRPr="00EB3F80">
        <w:rPr>
          <w:sz w:val="26"/>
          <w:szCs w:val="26"/>
        </w:rPr>
        <w:t>PPL propose</w:t>
      </w:r>
      <w:r w:rsidR="00E41216" w:rsidRPr="00EB3F80">
        <w:rPr>
          <w:sz w:val="26"/>
          <w:szCs w:val="26"/>
        </w:rPr>
        <w:t>d</w:t>
      </w:r>
      <w:r w:rsidRPr="00EB3F80">
        <w:rPr>
          <w:sz w:val="26"/>
          <w:szCs w:val="26"/>
        </w:rPr>
        <w:t xml:space="preserve"> to change three default values found in Table 2-33: Default values for algorithm terms.  The proposed changes would reduce the default values of </w:t>
      </w:r>
      <w:r w:rsidR="0073652B">
        <w:rPr>
          <w:sz w:val="26"/>
          <w:szCs w:val="26"/>
        </w:rPr>
        <w:t>the Seasonal Energy Efficiency Ratio of existing home central air conditioners (“</w:t>
      </w:r>
      <w:r w:rsidRPr="00775B37">
        <w:rPr>
          <w:sz w:val="26"/>
          <w:szCs w:val="26"/>
        </w:rPr>
        <w:t>SEER</w:t>
      </w:r>
      <w:r w:rsidR="00775B37">
        <w:rPr>
          <w:sz w:val="26"/>
          <w:szCs w:val="26"/>
          <w:vertAlign w:val="subscript"/>
        </w:rPr>
        <w:t>C</w:t>
      </w:r>
      <w:r w:rsidRPr="00775B37">
        <w:rPr>
          <w:sz w:val="26"/>
          <w:szCs w:val="26"/>
          <w:vertAlign w:val="subscript"/>
        </w:rPr>
        <w:t>AC</w:t>
      </w:r>
      <w:r w:rsidR="0073652B">
        <w:rPr>
          <w:sz w:val="26"/>
          <w:szCs w:val="26"/>
        </w:rPr>
        <w:t>”)</w:t>
      </w:r>
      <w:r w:rsidRPr="00EB3F80">
        <w:rPr>
          <w:sz w:val="26"/>
          <w:szCs w:val="26"/>
        </w:rPr>
        <w:t xml:space="preserve"> and</w:t>
      </w:r>
      <w:r w:rsidR="0073652B">
        <w:rPr>
          <w:sz w:val="26"/>
          <w:szCs w:val="26"/>
        </w:rPr>
        <w:t xml:space="preserve"> the</w:t>
      </w:r>
      <w:r w:rsidRPr="00EB3F80">
        <w:rPr>
          <w:sz w:val="26"/>
          <w:szCs w:val="26"/>
        </w:rPr>
        <w:t xml:space="preserve"> </w:t>
      </w:r>
      <w:r w:rsidR="0073652B">
        <w:rPr>
          <w:sz w:val="26"/>
          <w:szCs w:val="26"/>
        </w:rPr>
        <w:t>Seasonal Energy Efficiency Ratio of existing home air source heat pumps (“</w:t>
      </w:r>
      <w:r w:rsidRPr="00EB3F80">
        <w:rPr>
          <w:sz w:val="26"/>
          <w:szCs w:val="26"/>
        </w:rPr>
        <w:t>SEER</w:t>
      </w:r>
      <w:r w:rsidRPr="00EB3F80">
        <w:rPr>
          <w:sz w:val="26"/>
          <w:szCs w:val="26"/>
          <w:vertAlign w:val="subscript"/>
        </w:rPr>
        <w:t>ASHP</w:t>
      </w:r>
      <w:r w:rsidR="0073652B">
        <w:rPr>
          <w:sz w:val="26"/>
          <w:szCs w:val="26"/>
        </w:rPr>
        <w:t>”)</w:t>
      </w:r>
      <w:r w:rsidRPr="00EB3F80">
        <w:rPr>
          <w:sz w:val="26"/>
          <w:szCs w:val="26"/>
        </w:rPr>
        <w:t xml:space="preserve"> from 13 to 10 and </w:t>
      </w:r>
      <w:r w:rsidR="00E41216" w:rsidRPr="00EB3F80">
        <w:rPr>
          <w:sz w:val="26"/>
          <w:szCs w:val="26"/>
        </w:rPr>
        <w:t xml:space="preserve">would </w:t>
      </w:r>
      <w:r w:rsidRPr="00EB3F80">
        <w:rPr>
          <w:sz w:val="26"/>
          <w:szCs w:val="26"/>
        </w:rPr>
        <w:t xml:space="preserve">reduce the default value of </w:t>
      </w:r>
      <w:r w:rsidR="0073652B">
        <w:rPr>
          <w:sz w:val="26"/>
          <w:szCs w:val="26"/>
        </w:rPr>
        <w:t>the Heating Seasonal Performance Factor for existing home heat pumps (“</w:t>
      </w:r>
      <w:r w:rsidRPr="00EB3F80">
        <w:rPr>
          <w:sz w:val="26"/>
          <w:szCs w:val="26"/>
        </w:rPr>
        <w:t>HSPF</w:t>
      </w:r>
      <w:r w:rsidRPr="00EB3F80">
        <w:rPr>
          <w:sz w:val="26"/>
          <w:szCs w:val="26"/>
          <w:vertAlign w:val="subscript"/>
        </w:rPr>
        <w:t>ASHP</w:t>
      </w:r>
      <w:r w:rsidR="0073652B">
        <w:rPr>
          <w:sz w:val="26"/>
          <w:szCs w:val="26"/>
        </w:rPr>
        <w:t>”)</w:t>
      </w:r>
      <w:r w:rsidRPr="00EB3F80">
        <w:rPr>
          <w:sz w:val="26"/>
          <w:szCs w:val="26"/>
        </w:rPr>
        <w:t xml:space="preserve"> from 7.7 to 6.8.  PPL assert</w:t>
      </w:r>
      <w:r w:rsidR="00E41216" w:rsidRPr="00EB3F80">
        <w:rPr>
          <w:sz w:val="26"/>
          <w:szCs w:val="26"/>
        </w:rPr>
        <w:t>ed</w:t>
      </w:r>
      <w:r w:rsidRPr="00EB3F80">
        <w:rPr>
          <w:sz w:val="26"/>
          <w:szCs w:val="26"/>
        </w:rPr>
        <w:t xml:space="preserve"> that the changes will </w:t>
      </w:r>
      <w:r w:rsidR="00AF4260" w:rsidRPr="00EB3F80">
        <w:rPr>
          <w:sz w:val="26"/>
          <w:szCs w:val="26"/>
        </w:rPr>
        <w:t xml:space="preserve">result in </w:t>
      </w:r>
      <w:r w:rsidRPr="00EB3F80">
        <w:rPr>
          <w:sz w:val="26"/>
          <w:szCs w:val="26"/>
        </w:rPr>
        <w:t xml:space="preserve">Table 2-33 </w:t>
      </w:r>
      <w:r w:rsidR="00AF4260" w:rsidRPr="00EB3F80">
        <w:rPr>
          <w:sz w:val="26"/>
          <w:szCs w:val="26"/>
        </w:rPr>
        <w:t>conforming</w:t>
      </w:r>
      <w:r w:rsidRPr="00EB3F80">
        <w:rPr>
          <w:sz w:val="26"/>
          <w:szCs w:val="26"/>
        </w:rPr>
        <w:t xml:space="preserve"> to the baselines used for residential programmable thermostats. </w:t>
      </w:r>
      <w:r w:rsidR="00E02EEC">
        <w:rPr>
          <w:sz w:val="26"/>
          <w:szCs w:val="26"/>
        </w:rPr>
        <w:t xml:space="preserve"> </w:t>
      </w:r>
      <w:proofErr w:type="gramStart"/>
      <w:r w:rsidRPr="00EB3F80">
        <w:rPr>
          <w:sz w:val="26"/>
          <w:szCs w:val="26"/>
        </w:rPr>
        <w:t xml:space="preserve">(PPL </w:t>
      </w:r>
      <w:r w:rsidR="00EE427B">
        <w:rPr>
          <w:sz w:val="26"/>
          <w:szCs w:val="26"/>
        </w:rPr>
        <w:t>C</w:t>
      </w:r>
      <w:r w:rsidRPr="00EB3F80">
        <w:rPr>
          <w:sz w:val="26"/>
          <w:szCs w:val="26"/>
        </w:rPr>
        <w:t>omments at 23</w:t>
      </w:r>
      <w:r w:rsidR="00485CF9">
        <w:rPr>
          <w:sz w:val="26"/>
          <w:szCs w:val="26"/>
        </w:rPr>
        <w:t>.</w:t>
      </w:r>
      <w:r w:rsidRPr="00EB3F80">
        <w:rPr>
          <w:sz w:val="26"/>
          <w:szCs w:val="26"/>
        </w:rPr>
        <w:t>)</w:t>
      </w:r>
      <w:proofErr w:type="gramEnd"/>
      <w:r w:rsidRPr="00EB3F80">
        <w:rPr>
          <w:sz w:val="26"/>
          <w:szCs w:val="26"/>
        </w:rPr>
        <w:t xml:space="preserve">  </w:t>
      </w:r>
    </w:p>
    <w:p w:rsidR="001F01D3" w:rsidRPr="00EB3F80" w:rsidRDefault="001F01D3" w:rsidP="001F01D3">
      <w:pPr>
        <w:spacing w:line="360" w:lineRule="auto"/>
        <w:ind w:firstLine="720"/>
        <w:rPr>
          <w:sz w:val="26"/>
          <w:szCs w:val="26"/>
        </w:rPr>
      </w:pPr>
    </w:p>
    <w:p w:rsidR="001F01D3" w:rsidRPr="007C1EE2" w:rsidRDefault="001F01D3" w:rsidP="0052550D">
      <w:pPr>
        <w:pStyle w:val="ListParagraph"/>
        <w:numPr>
          <w:ilvl w:val="1"/>
          <w:numId w:val="7"/>
        </w:numPr>
        <w:spacing w:line="360" w:lineRule="auto"/>
        <w:ind w:left="2160" w:hanging="720"/>
        <w:rPr>
          <w:sz w:val="26"/>
          <w:szCs w:val="26"/>
        </w:rPr>
      </w:pPr>
      <w:r w:rsidRPr="007C1EE2">
        <w:rPr>
          <w:b/>
          <w:sz w:val="26"/>
          <w:szCs w:val="26"/>
        </w:rPr>
        <w:t>Disposition</w:t>
      </w:r>
    </w:p>
    <w:p w:rsidR="001F01D3" w:rsidRPr="00EB3F80" w:rsidRDefault="001F01D3" w:rsidP="001F01D3">
      <w:pPr>
        <w:spacing w:line="360" w:lineRule="auto"/>
        <w:ind w:firstLine="720"/>
        <w:rPr>
          <w:sz w:val="26"/>
          <w:szCs w:val="26"/>
        </w:rPr>
      </w:pPr>
    </w:p>
    <w:p w:rsidR="00844100" w:rsidRDefault="00755D49">
      <w:pPr>
        <w:spacing w:line="360" w:lineRule="auto"/>
        <w:ind w:firstLine="720"/>
        <w:rPr>
          <w:sz w:val="26"/>
          <w:szCs w:val="26"/>
        </w:rPr>
      </w:pPr>
      <w:r w:rsidRPr="00755D49">
        <w:rPr>
          <w:sz w:val="26"/>
          <w:szCs w:val="26"/>
        </w:rPr>
        <w:t xml:space="preserve">The Commission </w:t>
      </w:r>
      <w:r w:rsidR="007C1EE2">
        <w:rPr>
          <w:sz w:val="26"/>
          <w:szCs w:val="26"/>
        </w:rPr>
        <w:t xml:space="preserve">agrees with PPL </w:t>
      </w:r>
      <w:r w:rsidR="002C34E5">
        <w:rPr>
          <w:sz w:val="26"/>
          <w:szCs w:val="26"/>
        </w:rPr>
        <w:t>to the extent that PPL’s proposed changes to Table</w:t>
      </w:r>
      <w:r w:rsidRPr="00755D49">
        <w:rPr>
          <w:sz w:val="26"/>
          <w:szCs w:val="26"/>
        </w:rPr>
        <w:t xml:space="preserve"> 2-33</w:t>
      </w:r>
      <w:r w:rsidR="007C1EE2">
        <w:rPr>
          <w:sz w:val="26"/>
          <w:szCs w:val="26"/>
        </w:rPr>
        <w:t xml:space="preserve"> </w:t>
      </w:r>
      <w:r w:rsidR="002C34E5">
        <w:rPr>
          <w:sz w:val="26"/>
          <w:szCs w:val="26"/>
        </w:rPr>
        <w:t xml:space="preserve">relate to </w:t>
      </w:r>
      <w:r w:rsidR="00073322">
        <w:rPr>
          <w:sz w:val="26"/>
          <w:szCs w:val="26"/>
        </w:rPr>
        <w:t>early replacement measures</w:t>
      </w:r>
      <w:r w:rsidRPr="00755D49">
        <w:rPr>
          <w:sz w:val="26"/>
          <w:szCs w:val="26"/>
        </w:rPr>
        <w:t>.</w:t>
      </w:r>
      <w:r w:rsidR="003321DD">
        <w:rPr>
          <w:sz w:val="26"/>
          <w:szCs w:val="26"/>
        </w:rPr>
        <w:t xml:space="preserve">  </w:t>
      </w:r>
      <w:r w:rsidR="00073322">
        <w:rPr>
          <w:sz w:val="26"/>
          <w:szCs w:val="26"/>
        </w:rPr>
        <w:t>Specifically, t</w:t>
      </w:r>
      <w:r w:rsidR="003321DD">
        <w:rPr>
          <w:sz w:val="26"/>
          <w:szCs w:val="26"/>
        </w:rPr>
        <w:t xml:space="preserve">he default baseline values </w:t>
      </w:r>
      <w:r w:rsidR="00AC7527">
        <w:rPr>
          <w:sz w:val="26"/>
          <w:szCs w:val="26"/>
        </w:rPr>
        <w:t>for</w:t>
      </w:r>
      <w:r w:rsidR="003321DD">
        <w:rPr>
          <w:sz w:val="26"/>
          <w:szCs w:val="26"/>
        </w:rPr>
        <w:t xml:space="preserve"> </w:t>
      </w:r>
      <w:r w:rsidR="003321DD" w:rsidRPr="00775B37">
        <w:rPr>
          <w:sz w:val="26"/>
          <w:szCs w:val="26"/>
        </w:rPr>
        <w:t>SEER</w:t>
      </w:r>
      <w:r w:rsidR="00775B37">
        <w:rPr>
          <w:sz w:val="26"/>
          <w:szCs w:val="26"/>
          <w:vertAlign w:val="subscript"/>
        </w:rPr>
        <w:t>C</w:t>
      </w:r>
      <w:r w:rsidR="003321DD" w:rsidRPr="00775B37">
        <w:rPr>
          <w:sz w:val="26"/>
          <w:szCs w:val="26"/>
          <w:vertAlign w:val="subscript"/>
        </w:rPr>
        <w:t>AC</w:t>
      </w:r>
      <w:r w:rsidR="003321DD" w:rsidRPr="00F53CAC">
        <w:rPr>
          <w:sz w:val="26"/>
          <w:szCs w:val="26"/>
        </w:rPr>
        <w:t xml:space="preserve"> </w:t>
      </w:r>
      <w:r w:rsidR="003321DD">
        <w:rPr>
          <w:sz w:val="26"/>
          <w:szCs w:val="26"/>
        </w:rPr>
        <w:t>and SEER</w:t>
      </w:r>
      <w:r w:rsidR="003321DD" w:rsidRPr="00EC1A3C">
        <w:rPr>
          <w:sz w:val="26"/>
          <w:szCs w:val="26"/>
          <w:vertAlign w:val="subscript"/>
        </w:rPr>
        <w:t>ASHP</w:t>
      </w:r>
      <w:r w:rsidR="003321DD">
        <w:rPr>
          <w:sz w:val="26"/>
          <w:szCs w:val="26"/>
          <w:vertAlign w:val="subscript"/>
        </w:rPr>
        <w:t xml:space="preserve"> </w:t>
      </w:r>
      <w:r w:rsidR="00AC7527">
        <w:rPr>
          <w:sz w:val="26"/>
          <w:szCs w:val="26"/>
        </w:rPr>
        <w:t>are</w:t>
      </w:r>
      <w:r w:rsidR="003321DD">
        <w:rPr>
          <w:sz w:val="26"/>
          <w:szCs w:val="26"/>
        </w:rPr>
        <w:t xml:space="preserve"> changed from 13 to 10 for early replacement measures only.  The default baseline values </w:t>
      </w:r>
      <w:r w:rsidR="00AC7527">
        <w:rPr>
          <w:sz w:val="26"/>
          <w:szCs w:val="26"/>
        </w:rPr>
        <w:t>for</w:t>
      </w:r>
      <w:r w:rsidR="003321DD">
        <w:rPr>
          <w:sz w:val="26"/>
          <w:szCs w:val="26"/>
        </w:rPr>
        <w:t xml:space="preserve"> SEER</w:t>
      </w:r>
      <w:r w:rsidR="00775B37" w:rsidRPr="00775B37">
        <w:rPr>
          <w:sz w:val="26"/>
          <w:szCs w:val="26"/>
          <w:vertAlign w:val="subscript"/>
        </w:rPr>
        <w:t>C</w:t>
      </w:r>
      <w:r w:rsidR="003321DD" w:rsidRPr="00B0560D">
        <w:rPr>
          <w:sz w:val="26"/>
          <w:szCs w:val="26"/>
          <w:vertAlign w:val="subscript"/>
        </w:rPr>
        <w:t>AC</w:t>
      </w:r>
      <w:r w:rsidR="00D4642B">
        <w:rPr>
          <w:sz w:val="26"/>
          <w:szCs w:val="26"/>
        </w:rPr>
        <w:t xml:space="preserve"> </w:t>
      </w:r>
      <w:r w:rsidR="003321DD">
        <w:rPr>
          <w:sz w:val="26"/>
          <w:szCs w:val="26"/>
        </w:rPr>
        <w:t>and SEER</w:t>
      </w:r>
      <w:r w:rsidR="003321DD" w:rsidRPr="00B0560D">
        <w:rPr>
          <w:sz w:val="26"/>
          <w:szCs w:val="26"/>
          <w:vertAlign w:val="subscript"/>
        </w:rPr>
        <w:t>ASHP</w:t>
      </w:r>
      <w:r w:rsidR="003321DD">
        <w:rPr>
          <w:sz w:val="26"/>
          <w:szCs w:val="26"/>
          <w:vertAlign w:val="subscript"/>
        </w:rPr>
        <w:t xml:space="preserve"> </w:t>
      </w:r>
      <w:r w:rsidR="003321DD" w:rsidRPr="00EC1A3C">
        <w:rPr>
          <w:sz w:val="26"/>
          <w:szCs w:val="26"/>
        </w:rPr>
        <w:t xml:space="preserve">shall </w:t>
      </w:r>
      <w:r w:rsidR="003321DD">
        <w:rPr>
          <w:sz w:val="26"/>
          <w:szCs w:val="26"/>
        </w:rPr>
        <w:t>remain at 13 for replace on burnout measures.</w:t>
      </w:r>
      <w:r w:rsidR="003B13F9">
        <w:rPr>
          <w:sz w:val="26"/>
          <w:szCs w:val="26"/>
        </w:rPr>
        <w:t xml:space="preserve">  The latest U.S. Department of Energy (“DOE”) energy efficiency standards, effective in 2006, require that the minimum baseline efficiency for this equipment be 13.</w:t>
      </w:r>
      <w:r w:rsidR="003321DD">
        <w:rPr>
          <w:sz w:val="26"/>
          <w:szCs w:val="26"/>
        </w:rPr>
        <w:t xml:space="preserve">  </w:t>
      </w:r>
      <w:r w:rsidR="003B13F9">
        <w:rPr>
          <w:sz w:val="26"/>
          <w:szCs w:val="26"/>
        </w:rPr>
        <w:t>The Commission notes that t</w:t>
      </w:r>
      <w:r w:rsidR="003321DD">
        <w:rPr>
          <w:sz w:val="26"/>
          <w:szCs w:val="26"/>
        </w:rPr>
        <w:t xml:space="preserve">his </w:t>
      </w:r>
      <w:r w:rsidR="00ED2F13">
        <w:rPr>
          <w:sz w:val="26"/>
          <w:szCs w:val="26"/>
        </w:rPr>
        <w:t>approach is consistent with</w:t>
      </w:r>
      <w:r w:rsidR="003321DD">
        <w:rPr>
          <w:sz w:val="26"/>
          <w:szCs w:val="26"/>
        </w:rPr>
        <w:t xml:space="preserve"> the deemed baseline values </w:t>
      </w:r>
      <w:r w:rsidR="00AC7527">
        <w:rPr>
          <w:sz w:val="26"/>
          <w:szCs w:val="26"/>
        </w:rPr>
        <w:t>for</w:t>
      </w:r>
      <w:r w:rsidR="003321DD">
        <w:rPr>
          <w:sz w:val="26"/>
          <w:szCs w:val="26"/>
        </w:rPr>
        <w:t xml:space="preserve"> </w:t>
      </w:r>
      <w:r w:rsidR="003321DD" w:rsidRPr="00775B37">
        <w:rPr>
          <w:sz w:val="26"/>
          <w:szCs w:val="26"/>
        </w:rPr>
        <w:t>SEER</w:t>
      </w:r>
      <w:r w:rsidR="00775B37">
        <w:rPr>
          <w:sz w:val="26"/>
          <w:szCs w:val="26"/>
          <w:vertAlign w:val="subscript"/>
        </w:rPr>
        <w:t>C</w:t>
      </w:r>
      <w:r w:rsidR="003321DD" w:rsidRPr="00775B37">
        <w:rPr>
          <w:sz w:val="26"/>
          <w:szCs w:val="26"/>
          <w:vertAlign w:val="subscript"/>
        </w:rPr>
        <w:t>AC</w:t>
      </w:r>
      <w:r w:rsidR="003321DD" w:rsidRPr="00F53CAC">
        <w:rPr>
          <w:sz w:val="26"/>
          <w:szCs w:val="26"/>
        </w:rPr>
        <w:t xml:space="preserve"> </w:t>
      </w:r>
      <w:r w:rsidR="003321DD">
        <w:rPr>
          <w:sz w:val="26"/>
          <w:szCs w:val="26"/>
        </w:rPr>
        <w:t>and SEER</w:t>
      </w:r>
      <w:r w:rsidR="003321DD" w:rsidRPr="00B0560D">
        <w:rPr>
          <w:sz w:val="26"/>
          <w:szCs w:val="26"/>
          <w:vertAlign w:val="subscript"/>
        </w:rPr>
        <w:t>ASHP</w:t>
      </w:r>
      <w:r w:rsidR="003321DD">
        <w:rPr>
          <w:sz w:val="26"/>
          <w:szCs w:val="26"/>
          <w:vertAlign w:val="subscript"/>
        </w:rPr>
        <w:t xml:space="preserve"> </w:t>
      </w:r>
      <w:r w:rsidR="003321DD" w:rsidRPr="00EC1A3C">
        <w:rPr>
          <w:sz w:val="26"/>
          <w:szCs w:val="26"/>
        </w:rPr>
        <w:t xml:space="preserve">for early replacement and replace on </w:t>
      </w:r>
      <w:r w:rsidR="003321DD" w:rsidRPr="00EC1A3C">
        <w:rPr>
          <w:sz w:val="26"/>
          <w:szCs w:val="26"/>
        </w:rPr>
        <w:lastRenderedPageBreak/>
        <w:t xml:space="preserve">burnout measures </w:t>
      </w:r>
      <w:r w:rsidR="00ED2F13">
        <w:rPr>
          <w:sz w:val="26"/>
          <w:szCs w:val="26"/>
        </w:rPr>
        <w:t xml:space="preserve">listed </w:t>
      </w:r>
      <w:r w:rsidR="003321DD">
        <w:rPr>
          <w:sz w:val="26"/>
          <w:szCs w:val="26"/>
        </w:rPr>
        <w:t xml:space="preserve">in the </w:t>
      </w:r>
      <w:r w:rsidR="003321DD" w:rsidRPr="00AC7527">
        <w:rPr>
          <w:i/>
          <w:sz w:val="26"/>
          <w:szCs w:val="26"/>
        </w:rPr>
        <w:t>New York Standard Approach for Estimating Energy Savings from Energy Efficiency Programs</w:t>
      </w:r>
      <w:r w:rsidR="00E446BD">
        <w:rPr>
          <w:sz w:val="26"/>
          <w:szCs w:val="26"/>
        </w:rPr>
        <w:t>.</w:t>
      </w:r>
      <w:r w:rsidR="003321DD">
        <w:rPr>
          <w:rStyle w:val="FootnoteReference"/>
        </w:rPr>
        <w:footnoteReference w:id="12"/>
      </w:r>
      <w:r w:rsidR="003321DD">
        <w:rPr>
          <w:sz w:val="26"/>
          <w:szCs w:val="26"/>
        </w:rPr>
        <w:t xml:space="preserve"> </w:t>
      </w:r>
      <w:r w:rsidR="0021663E">
        <w:rPr>
          <w:sz w:val="26"/>
          <w:szCs w:val="26"/>
        </w:rPr>
        <w:t xml:space="preserve"> </w:t>
      </w:r>
    </w:p>
    <w:p w:rsidR="003321DD" w:rsidRDefault="003321DD" w:rsidP="003321DD">
      <w:pPr>
        <w:spacing w:line="360" w:lineRule="auto"/>
        <w:ind w:left="360"/>
        <w:rPr>
          <w:sz w:val="26"/>
          <w:szCs w:val="26"/>
        </w:rPr>
      </w:pPr>
    </w:p>
    <w:p w:rsidR="001F01D3" w:rsidRPr="00EB3F80" w:rsidRDefault="003321DD" w:rsidP="00E446BD">
      <w:pPr>
        <w:spacing w:line="360" w:lineRule="auto"/>
        <w:ind w:firstLine="720"/>
        <w:rPr>
          <w:b/>
          <w:sz w:val="26"/>
          <w:szCs w:val="26"/>
        </w:rPr>
      </w:pPr>
      <w:r w:rsidRPr="007172A4">
        <w:rPr>
          <w:sz w:val="26"/>
          <w:szCs w:val="26"/>
        </w:rPr>
        <w:t xml:space="preserve">The default baseline value </w:t>
      </w:r>
      <w:r w:rsidR="00AC7527" w:rsidRPr="007172A4">
        <w:rPr>
          <w:sz w:val="26"/>
          <w:szCs w:val="26"/>
        </w:rPr>
        <w:t>for</w:t>
      </w:r>
      <w:r w:rsidRPr="007172A4">
        <w:rPr>
          <w:sz w:val="26"/>
          <w:szCs w:val="26"/>
        </w:rPr>
        <w:t xml:space="preserve"> HSPF</w:t>
      </w:r>
      <w:r w:rsidRPr="007172A4">
        <w:rPr>
          <w:sz w:val="26"/>
          <w:szCs w:val="26"/>
          <w:vertAlign w:val="subscript"/>
        </w:rPr>
        <w:t xml:space="preserve">ASHP </w:t>
      </w:r>
      <w:r w:rsidR="00E322C1" w:rsidRPr="007172A4">
        <w:rPr>
          <w:sz w:val="26"/>
          <w:szCs w:val="26"/>
        </w:rPr>
        <w:t xml:space="preserve">is </w:t>
      </w:r>
      <w:r w:rsidRPr="007172A4">
        <w:rPr>
          <w:sz w:val="26"/>
          <w:szCs w:val="26"/>
        </w:rPr>
        <w:t xml:space="preserve">changed from 7.7 to 6.8 for early replacement measures only.  The default baseline values </w:t>
      </w:r>
      <w:r w:rsidR="00AC7527" w:rsidRPr="007172A4">
        <w:rPr>
          <w:sz w:val="26"/>
          <w:szCs w:val="26"/>
        </w:rPr>
        <w:t>for</w:t>
      </w:r>
      <w:r w:rsidRPr="007172A4">
        <w:rPr>
          <w:sz w:val="26"/>
          <w:szCs w:val="26"/>
        </w:rPr>
        <w:t xml:space="preserve"> HSPF</w:t>
      </w:r>
      <w:r w:rsidRPr="007172A4">
        <w:rPr>
          <w:sz w:val="26"/>
          <w:szCs w:val="26"/>
          <w:vertAlign w:val="subscript"/>
        </w:rPr>
        <w:t>ASHP</w:t>
      </w:r>
      <w:r w:rsidRPr="007172A4">
        <w:rPr>
          <w:sz w:val="26"/>
          <w:szCs w:val="26"/>
        </w:rPr>
        <w:t xml:space="preserve"> shall</w:t>
      </w:r>
      <w:r w:rsidR="00B43BB7" w:rsidRPr="007172A4">
        <w:rPr>
          <w:sz w:val="26"/>
          <w:szCs w:val="26"/>
        </w:rPr>
        <w:t xml:space="preserve"> be </w:t>
      </w:r>
      <w:r w:rsidR="00E322C1" w:rsidRPr="007172A4">
        <w:rPr>
          <w:sz w:val="26"/>
          <w:szCs w:val="26"/>
        </w:rPr>
        <w:t>7.7</w:t>
      </w:r>
      <w:r w:rsidR="00B43BB7" w:rsidRPr="007172A4">
        <w:rPr>
          <w:sz w:val="26"/>
          <w:szCs w:val="26"/>
        </w:rPr>
        <w:t xml:space="preserve"> </w:t>
      </w:r>
      <w:r w:rsidRPr="007172A4">
        <w:rPr>
          <w:sz w:val="26"/>
          <w:szCs w:val="26"/>
        </w:rPr>
        <w:t xml:space="preserve">for replace on burnout measures.  This allows for the deemed baseline values </w:t>
      </w:r>
      <w:r w:rsidR="00F05F7D" w:rsidRPr="007172A4">
        <w:rPr>
          <w:sz w:val="26"/>
          <w:szCs w:val="26"/>
        </w:rPr>
        <w:t>for</w:t>
      </w:r>
      <w:r w:rsidRPr="007172A4">
        <w:rPr>
          <w:sz w:val="26"/>
          <w:szCs w:val="26"/>
        </w:rPr>
        <w:t xml:space="preserve"> HSPF</w:t>
      </w:r>
      <w:r w:rsidRPr="007172A4">
        <w:rPr>
          <w:sz w:val="26"/>
          <w:szCs w:val="26"/>
          <w:vertAlign w:val="subscript"/>
        </w:rPr>
        <w:t>ASHP</w:t>
      </w:r>
      <w:r w:rsidRPr="007172A4">
        <w:rPr>
          <w:sz w:val="26"/>
          <w:szCs w:val="26"/>
        </w:rPr>
        <w:t xml:space="preserve"> for early replacement and replace on burnout measures to be consistent with </w:t>
      </w:r>
      <w:r w:rsidR="00E322C1" w:rsidRPr="007172A4">
        <w:rPr>
          <w:sz w:val="26"/>
          <w:szCs w:val="26"/>
        </w:rPr>
        <w:t xml:space="preserve">the </w:t>
      </w:r>
      <w:r w:rsidR="00525B05" w:rsidRPr="007172A4">
        <w:rPr>
          <w:sz w:val="26"/>
          <w:szCs w:val="26"/>
        </w:rPr>
        <w:t>International Energy Conservation Code 2009 (“IECC 2009”)</w:t>
      </w:r>
      <w:r w:rsidRPr="007172A4">
        <w:rPr>
          <w:sz w:val="26"/>
          <w:szCs w:val="26"/>
        </w:rPr>
        <w:t>.</w:t>
      </w:r>
      <w:r w:rsidR="00525B05" w:rsidRPr="007172A4">
        <w:rPr>
          <w:rStyle w:val="FootnoteReference"/>
          <w:sz w:val="26"/>
          <w:szCs w:val="26"/>
        </w:rPr>
        <w:footnoteReference w:id="13"/>
      </w:r>
      <w:r>
        <w:rPr>
          <w:sz w:val="26"/>
          <w:szCs w:val="26"/>
        </w:rPr>
        <w:t xml:space="preserve"> </w:t>
      </w:r>
      <w:r w:rsidR="00755D49" w:rsidRPr="00755D49">
        <w:rPr>
          <w:sz w:val="26"/>
          <w:szCs w:val="26"/>
        </w:rPr>
        <w:t xml:space="preserve">  </w:t>
      </w:r>
    </w:p>
    <w:p w:rsidR="00844100" w:rsidRDefault="00844100">
      <w:pPr>
        <w:pStyle w:val="ListParagraph"/>
        <w:spacing w:line="360" w:lineRule="auto"/>
        <w:rPr>
          <w:b/>
          <w:sz w:val="26"/>
          <w:szCs w:val="26"/>
        </w:rPr>
      </w:pPr>
    </w:p>
    <w:p w:rsidR="00C223E5" w:rsidRPr="00EB3F80" w:rsidRDefault="00C223E5" w:rsidP="0052550D">
      <w:pPr>
        <w:pStyle w:val="ListParagraph"/>
        <w:numPr>
          <w:ilvl w:val="0"/>
          <w:numId w:val="7"/>
        </w:numPr>
        <w:spacing w:line="360" w:lineRule="auto"/>
        <w:ind w:left="1440" w:hanging="720"/>
        <w:rPr>
          <w:b/>
          <w:sz w:val="26"/>
          <w:szCs w:val="26"/>
        </w:rPr>
      </w:pPr>
      <w:r w:rsidRPr="00EB3F80">
        <w:rPr>
          <w:b/>
          <w:sz w:val="26"/>
          <w:szCs w:val="26"/>
        </w:rPr>
        <w:t>Ductless Mini-Split Heat Pumps</w:t>
      </w:r>
    </w:p>
    <w:p w:rsidR="00C223E5" w:rsidRPr="00EB3F80" w:rsidRDefault="00C223E5" w:rsidP="00C223E5">
      <w:pPr>
        <w:pStyle w:val="ListParagraph"/>
        <w:spacing w:line="360" w:lineRule="auto"/>
        <w:rPr>
          <w:b/>
          <w:sz w:val="26"/>
          <w:szCs w:val="26"/>
        </w:rPr>
      </w:pPr>
    </w:p>
    <w:p w:rsidR="00EC2208" w:rsidRPr="00EB3F80" w:rsidRDefault="00EC2208" w:rsidP="00EC2208">
      <w:pPr>
        <w:pStyle w:val="BodyText"/>
        <w:spacing w:line="360" w:lineRule="auto"/>
        <w:ind w:firstLine="720"/>
        <w:rPr>
          <w:rFonts w:ascii="Times New Roman" w:hAnsi="Times New Roman"/>
          <w:sz w:val="26"/>
          <w:szCs w:val="26"/>
        </w:rPr>
      </w:pPr>
      <w:r w:rsidRPr="00EB3F80">
        <w:rPr>
          <w:rFonts w:ascii="Times New Roman" w:hAnsi="Times New Roman"/>
          <w:sz w:val="26"/>
          <w:szCs w:val="26"/>
        </w:rPr>
        <w:t>ENERGY STAR ductless mini-split heat pumps utilize high efficiency</w:t>
      </w:r>
      <w:r w:rsidR="005B2369">
        <w:rPr>
          <w:rFonts w:ascii="Times New Roman" w:hAnsi="Times New Roman"/>
          <w:sz w:val="26"/>
          <w:szCs w:val="26"/>
        </w:rPr>
        <w:t xml:space="preserve"> energy performance factors including</w:t>
      </w:r>
      <w:r w:rsidRPr="00EB3F80">
        <w:rPr>
          <w:rFonts w:ascii="Times New Roman" w:hAnsi="Times New Roman"/>
          <w:sz w:val="26"/>
          <w:szCs w:val="26"/>
        </w:rPr>
        <w:t xml:space="preserve"> </w:t>
      </w:r>
      <w:r w:rsidR="0073652B">
        <w:rPr>
          <w:rFonts w:ascii="Times New Roman" w:hAnsi="Times New Roman"/>
          <w:sz w:val="26"/>
          <w:szCs w:val="26"/>
        </w:rPr>
        <w:t xml:space="preserve">a </w:t>
      </w:r>
      <w:r w:rsidR="004326A2" w:rsidRPr="00EB3F80">
        <w:rPr>
          <w:rFonts w:ascii="Times New Roman" w:hAnsi="Times New Roman"/>
          <w:sz w:val="26"/>
          <w:szCs w:val="26"/>
        </w:rPr>
        <w:t>SEER</w:t>
      </w:r>
      <w:r w:rsidR="009E64A8">
        <w:rPr>
          <w:rFonts w:ascii="Times New Roman" w:hAnsi="Times New Roman"/>
          <w:sz w:val="26"/>
          <w:szCs w:val="26"/>
        </w:rPr>
        <w:t xml:space="preserve"> of 14.5 or higher, </w:t>
      </w:r>
      <w:r w:rsidR="0073652B">
        <w:rPr>
          <w:rFonts w:ascii="Times New Roman" w:hAnsi="Times New Roman"/>
          <w:sz w:val="26"/>
          <w:szCs w:val="26"/>
        </w:rPr>
        <w:t xml:space="preserve">an </w:t>
      </w:r>
      <w:r w:rsidR="004326A2" w:rsidRPr="00EB3F80">
        <w:rPr>
          <w:rFonts w:ascii="Times New Roman" w:hAnsi="Times New Roman"/>
          <w:sz w:val="26"/>
          <w:szCs w:val="26"/>
        </w:rPr>
        <w:t>Energy Efficiency Ratio (“EER”)</w:t>
      </w:r>
      <w:r w:rsidRPr="00EB3F80">
        <w:rPr>
          <w:rFonts w:ascii="Times New Roman" w:hAnsi="Times New Roman"/>
          <w:sz w:val="26"/>
          <w:szCs w:val="26"/>
        </w:rPr>
        <w:t xml:space="preserve"> </w:t>
      </w:r>
      <w:r w:rsidR="009E64A8">
        <w:rPr>
          <w:rFonts w:ascii="Times New Roman" w:hAnsi="Times New Roman"/>
          <w:sz w:val="26"/>
          <w:szCs w:val="26"/>
        </w:rPr>
        <w:t xml:space="preserve">of 12 or higher </w:t>
      </w:r>
      <w:r w:rsidRPr="00EB3F80">
        <w:rPr>
          <w:rFonts w:ascii="Times New Roman" w:hAnsi="Times New Roman"/>
          <w:sz w:val="26"/>
          <w:szCs w:val="26"/>
        </w:rPr>
        <w:t xml:space="preserve">and </w:t>
      </w:r>
      <w:r w:rsidR="0073652B">
        <w:rPr>
          <w:rFonts w:ascii="Times New Roman" w:hAnsi="Times New Roman"/>
          <w:sz w:val="26"/>
          <w:szCs w:val="26"/>
        </w:rPr>
        <w:t xml:space="preserve">an </w:t>
      </w:r>
      <w:r w:rsidRPr="00EB3F80">
        <w:rPr>
          <w:rFonts w:ascii="Times New Roman" w:hAnsi="Times New Roman"/>
          <w:sz w:val="26"/>
          <w:szCs w:val="26"/>
        </w:rPr>
        <w:t xml:space="preserve">HSPF </w:t>
      </w:r>
      <w:r w:rsidR="00B87A42">
        <w:rPr>
          <w:rFonts w:ascii="Times New Roman" w:hAnsi="Times New Roman"/>
          <w:sz w:val="26"/>
          <w:szCs w:val="26"/>
        </w:rPr>
        <w:t>of</w:t>
      </w:r>
      <w:r w:rsidRPr="00EB3F80">
        <w:rPr>
          <w:rFonts w:ascii="Times New Roman" w:hAnsi="Times New Roman"/>
          <w:sz w:val="26"/>
          <w:szCs w:val="26"/>
        </w:rPr>
        <w:t xml:space="preserve"> 8.2 or </w:t>
      </w:r>
      <w:r w:rsidR="009E64A8">
        <w:rPr>
          <w:rFonts w:ascii="Times New Roman" w:hAnsi="Times New Roman"/>
          <w:sz w:val="26"/>
          <w:szCs w:val="26"/>
        </w:rPr>
        <w:t>higher</w:t>
      </w:r>
      <w:r w:rsidRPr="00EB3F80">
        <w:rPr>
          <w:rFonts w:ascii="Times New Roman" w:hAnsi="Times New Roman"/>
          <w:sz w:val="26"/>
          <w:szCs w:val="26"/>
        </w:rPr>
        <w:t xml:space="preserve">.  This technology typically converts an electric resistance </w:t>
      </w:r>
      <w:r w:rsidR="00B87A42">
        <w:rPr>
          <w:rFonts w:ascii="Times New Roman" w:hAnsi="Times New Roman"/>
          <w:sz w:val="26"/>
          <w:szCs w:val="26"/>
        </w:rPr>
        <w:t xml:space="preserve">heat </w:t>
      </w:r>
      <w:r w:rsidRPr="00EB3F80">
        <w:rPr>
          <w:rFonts w:ascii="Times New Roman" w:hAnsi="Times New Roman"/>
          <w:sz w:val="26"/>
          <w:szCs w:val="26"/>
        </w:rPr>
        <w:t xml:space="preserve">home into an efficient single or multi-zonal ductless heat pump system.  Homeowners </w:t>
      </w:r>
      <w:r w:rsidR="00AC350C">
        <w:rPr>
          <w:rFonts w:ascii="Times New Roman" w:hAnsi="Times New Roman"/>
          <w:sz w:val="26"/>
          <w:szCs w:val="26"/>
        </w:rPr>
        <w:t>choose whether</w:t>
      </w:r>
      <w:r w:rsidRPr="00EB3F80">
        <w:rPr>
          <w:rFonts w:ascii="Times New Roman" w:hAnsi="Times New Roman"/>
          <w:sz w:val="26"/>
          <w:szCs w:val="26"/>
        </w:rPr>
        <w:t xml:space="preserve"> to install an ENERGY STAR qualified model or a standard efficiency model. </w:t>
      </w:r>
    </w:p>
    <w:p w:rsidR="00756A3B" w:rsidRPr="00EB3F80" w:rsidRDefault="00756A3B" w:rsidP="00C223E5">
      <w:pPr>
        <w:pStyle w:val="ListParagraph"/>
        <w:spacing w:line="360" w:lineRule="auto"/>
        <w:rPr>
          <w:b/>
          <w:sz w:val="26"/>
          <w:szCs w:val="26"/>
        </w:rPr>
      </w:pPr>
    </w:p>
    <w:p w:rsidR="00EC2208" w:rsidRPr="00EB3F80" w:rsidRDefault="00EC2208" w:rsidP="0052550D">
      <w:pPr>
        <w:pStyle w:val="ListParagraph"/>
        <w:numPr>
          <w:ilvl w:val="1"/>
          <w:numId w:val="7"/>
        </w:numPr>
        <w:spacing w:line="360" w:lineRule="auto"/>
        <w:ind w:left="2160" w:hanging="720"/>
        <w:rPr>
          <w:b/>
          <w:sz w:val="26"/>
          <w:szCs w:val="26"/>
        </w:rPr>
      </w:pPr>
      <w:r w:rsidRPr="00EB3F80">
        <w:rPr>
          <w:b/>
          <w:sz w:val="26"/>
          <w:szCs w:val="26"/>
        </w:rPr>
        <w:t>Comments</w:t>
      </w:r>
    </w:p>
    <w:p w:rsidR="00E41216" w:rsidRPr="00EB3F80" w:rsidRDefault="00E41216" w:rsidP="00C223E5">
      <w:pPr>
        <w:pStyle w:val="ListParagraph"/>
        <w:spacing w:line="360" w:lineRule="auto"/>
        <w:rPr>
          <w:b/>
          <w:sz w:val="26"/>
          <w:szCs w:val="26"/>
        </w:rPr>
      </w:pPr>
    </w:p>
    <w:p w:rsidR="00E1239A" w:rsidRPr="00EB3F80" w:rsidRDefault="00755D49" w:rsidP="00E1239A">
      <w:pPr>
        <w:pStyle w:val="ListParagraph"/>
        <w:spacing w:line="360" w:lineRule="auto"/>
        <w:ind w:left="0" w:firstLine="720"/>
        <w:rPr>
          <w:sz w:val="26"/>
          <w:szCs w:val="26"/>
        </w:rPr>
      </w:pPr>
      <w:r w:rsidRPr="00755D49">
        <w:rPr>
          <w:sz w:val="26"/>
          <w:szCs w:val="26"/>
        </w:rPr>
        <w:t>PPL proposed edits to the ductless mini-split heat pump protocol</w:t>
      </w:r>
      <w:r w:rsidR="00B87A42">
        <w:rPr>
          <w:sz w:val="26"/>
          <w:szCs w:val="26"/>
        </w:rPr>
        <w:t>,</w:t>
      </w:r>
      <w:r w:rsidRPr="00755D49">
        <w:rPr>
          <w:sz w:val="26"/>
          <w:szCs w:val="26"/>
        </w:rPr>
        <w:t xml:space="preserve"> including revised equations and updated values for a number of parameters (</w:t>
      </w:r>
      <w:r w:rsidRPr="00485CF9">
        <w:rPr>
          <w:i/>
          <w:sz w:val="26"/>
          <w:szCs w:val="26"/>
        </w:rPr>
        <w:t>e</w:t>
      </w:r>
      <w:r w:rsidRPr="00755D49">
        <w:rPr>
          <w:sz w:val="26"/>
          <w:szCs w:val="26"/>
        </w:rPr>
        <w:t>.</w:t>
      </w:r>
      <w:r w:rsidRPr="00485CF9">
        <w:rPr>
          <w:i/>
          <w:sz w:val="26"/>
          <w:szCs w:val="26"/>
        </w:rPr>
        <w:t>g</w:t>
      </w:r>
      <w:r w:rsidRPr="00755D49">
        <w:rPr>
          <w:sz w:val="26"/>
          <w:szCs w:val="26"/>
        </w:rPr>
        <w:t xml:space="preserve">., Equivalent Full Load Hours for secondary heating or cooling systems). </w:t>
      </w:r>
      <w:r w:rsidR="00756A3B">
        <w:rPr>
          <w:sz w:val="26"/>
          <w:szCs w:val="26"/>
        </w:rPr>
        <w:t xml:space="preserve"> </w:t>
      </w:r>
      <w:proofErr w:type="gramStart"/>
      <w:r w:rsidRPr="00755D49">
        <w:rPr>
          <w:sz w:val="26"/>
          <w:szCs w:val="26"/>
        </w:rPr>
        <w:t xml:space="preserve">(PPL </w:t>
      </w:r>
      <w:r w:rsidR="00EE427B">
        <w:rPr>
          <w:sz w:val="26"/>
          <w:szCs w:val="26"/>
        </w:rPr>
        <w:t>C</w:t>
      </w:r>
      <w:r w:rsidRPr="00755D49">
        <w:rPr>
          <w:sz w:val="26"/>
          <w:szCs w:val="26"/>
        </w:rPr>
        <w:t>omments Appendix 2</w:t>
      </w:r>
      <w:r w:rsidR="00485CF9">
        <w:rPr>
          <w:sz w:val="26"/>
          <w:szCs w:val="26"/>
        </w:rPr>
        <w:t>.</w:t>
      </w:r>
      <w:r w:rsidRPr="00755D49">
        <w:rPr>
          <w:sz w:val="26"/>
          <w:szCs w:val="26"/>
        </w:rPr>
        <w:t>)</w:t>
      </w:r>
      <w:proofErr w:type="gramEnd"/>
      <w:r w:rsidRPr="00755D49">
        <w:rPr>
          <w:sz w:val="26"/>
          <w:szCs w:val="26"/>
        </w:rPr>
        <w:t xml:space="preserve">  PECO noted that it </w:t>
      </w:r>
      <w:r w:rsidR="00C41499">
        <w:rPr>
          <w:sz w:val="26"/>
          <w:szCs w:val="26"/>
        </w:rPr>
        <w:t xml:space="preserve">had </w:t>
      </w:r>
      <w:r w:rsidRPr="00755D49">
        <w:rPr>
          <w:sz w:val="26"/>
          <w:szCs w:val="26"/>
        </w:rPr>
        <w:t xml:space="preserve">discussed </w:t>
      </w:r>
      <w:r w:rsidR="00B43BB7">
        <w:rPr>
          <w:sz w:val="26"/>
          <w:szCs w:val="26"/>
        </w:rPr>
        <w:t xml:space="preserve">the </w:t>
      </w:r>
      <w:r w:rsidRPr="00755D49">
        <w:rPr>
          <w:sz w:val="26"/>
          <w:szCs w:val="26"/>
        </w:rPr>
        <w:t>errors in the ductless mini-split</w:t>
      </w:r>
      <w:r w:rsidR="00B43BB7">
        <w:rPr>
          <w:sz w:val="26"/>
          <w:szCs w:val="26"/>
        </w:rPr>
        <w:t xml:space="preserve"> heat pump measure</w:t>
      </w:r>
      <w:r w:rsidR="00C41499">
        <w:rPr>
          <w:sz w:val="26"/>
          <w:szCs w:val="26"/>
        </w:rPr>
        <w:t xml:space="preserve"> </w:t>
      </w:r>
      <w:r w:rsidR="00C41499">
        <w:rPr>
          <w:sz w:val="26"/>
          <w:szCs w:val="26"/>
        </w:rPr>
        <w:lastRenderedPageBreak/>
        <w:t>protocols</w:t>
      </w:r>
      <w:r w:rsidR="00B43BB7">
        <w:rPr>
          <w:sz w:val="26"/>
          <w:szCs w:val="26"/>
        </w:rPr>
        <w:t xml:space="preserve"> </w:t>
      </w:r>
      <w:r w:rsidR="00485CF9" w:rsidRPr="00755D49">
        <w:rPr>
          <w:sz w:val="26"/>
          <w:szCs w:val="26"/>
        </w:rPr>
        <w:t xml:space="preserve">with other EDCs </w:t>
      </w:r>
      <w:r w:rsidR="00C41499">
        <w:rPr>
          <w:sz w:val="26"/>
          <w:szCs w:val="26"/>
        </w:rPr>
        <w:t>and they were in agreement with the PPL proposal as modified by PECO</w:t>
      </w:r>
      <w:r w:rsidRPr="00755D49">
        <w:rPr>
          <w:sz w:val="26"/>
          <w:szCs w:val="26"/>
        </w:rPr>
        <w:t xml:space="preserve">.  </w:t>
      </w:r>
      <w:proofErr w:type="gramStart"/>
      <w:r w:rsidRPr="00755D49">
        <w:rPr>
          <w:sz w:val="26"/>
          <w:szCs w:val="26"/>
        </w:rPr>
        <w:t xml:space="preserve">(PECO </w:t>
      </w:r>
      <w:r w:rsidR="00EE427B">
        <w:rPr>
          <w:sz w:val="26"/>
          <w:szCs w:val="26"/>
        </w:rPr>
        <w:t>C</w:t>
      </w:r>
      <w:r w:rsidRPr="00755D49">
        <w:rPr>
          <w:sz w:val="26"/>
          <w:szCs w:val="26"/>
        </w:rPr>
        <w:t xml:space="preserve">omments Appendix </w:t>
      </w:r>
      <w:r w:rsidR="00C41499">
        <w:rPr>
          <w:sz w:val="26"/>
          <w:szCs w:val="26"/>
        </w:rPr>
        <w:t xml:space="preserve">at </w:t>
      </w:r>
      <w:r w:rsidRPr="00755D49">
        <w:rPr>
          <w:sz w:val="26"/>
          <w:szCs w:val="26"/>
        </w:rPr>
        <w:t>4</w:t>
      </w:r>
      <w:r w:rsidR="00C41499">
        <w:rPr>
          <w:sz w:val="26"/>
          <w:szCs w:val="26"/>
        </w:rPr>
        <w:t>.</w:t>
      </w:r>
      <w:r w:rsidRPr="00755D49">
        <w:rPr>
          <w:sz w:val="26"/>
          <w:szCs w:val="26"/>
        </w:rPr>
        <w:t>)</w:t>
      </w:r>
      <w:proofErr w:type="gramEnd"/>
    </w:p>
    <w:p w:rsidR="00844100" w:rsidRDefault="00844100">
      <w:pPr>
        <w:pStyle w:val="ListParagraph"/>
        <w:spacing w:line="360" w:lineRule="auto"/>
        <w:ind w:left="0" w:firstLine="720"/>
        <w:rPr>
          <w:sz w:val="26"/>
          <w:szCs w:val="26"/>
        </w:rPr>
      </w:pPr>
    </w:p>
    <w:p w:rsidR="00EC2208" w:rsidRPr="00EB3F80" w:rsidRDefault="00EC2208" w:rsidP="0052550D">
      <w:pPr>
        <w:pStyle w:val="ListParagraph"/>
        <w:numPr>
          <w:ilvl w:val="1"/>
          <w:numId w:val="7"/>
        </w:numPr>
        <w:spacing w:line="360" w:lineRule="auto"/>
        <w:ind w:left="2160" w:hanging="720"/>
        <w:rPr>
          <w:b/>
          <w:sz w:val="26"/>
          <w:szCs w:val="26"/>
        </w:rPr>
      </w:pPr>
      <w:r w:rsidRPr="00EB3F80">
        <w:rPr>
          <w:b/>
          <w:sz w:val="26"/>
          <w:szCs w:val="26"/>
        </w:rPr>
        <w:t>Disposition</w:t>
      </w:r>
    </w:p>
    <w:p w:rsidR="00844100" w:rsidRDefault="00844100">
      <w:pPr>
        <w:pStyle w:val="ListParagraph"/>
        <w:spacing w:line="360" w:lineRule="auto"/>
        <w:ind w:left="0" w:firstLine="720"/>
        <w:rPr>
          <w:sz w:val="26"/>
          <w:szCs w:val="26"/>
        </w:rPr>
      </w:pPr>
    </w:p>
    <w:p w:rsidR="00844100" w:rsidRDefault="00F70430">
      <w:pPr>
        <w:pStyle w:val="ListParagraph"/>
        <w:spacing w:line="360" w:lineRule="auto"/>
        <w:ind w:left="0" w:firstLine="720"/>
        <w:rPr>
          <w:sz w:val="26"/>
          <w:szCs w:val="26"/>
        </w:rPr>
      </w:pPr>
      <w:r w:rsidRPr="00EB3F80">
        <w:rPr>
          <w:sz w:val="26"/>
          <w:szCs w:val="26"/>
        </w:rPr>
        <w:t>The Commission</w:t>
      </w:r>
      <w:r w:rsidR="00F42A9A" w:rsidRPr="00EB3F80">
        <w:rPr>
          <w:sz w:val="26"/>
          <w:szCs w:val="26"/>
        </w:rPr>
        <w:t xml:space="preserve"> </w:t>
      </w:r>
      <w:r w:rsidR="00C41499">
        <w:rPr>
          <w:sz w:val="26"/>
          <w:szCs w:val="26"/>
        </w:rPr>
        <w:t xml:space="preserve">adopts </w:t>
      </w:r>
      <w:r w:rsidR="00F42A9A" w:rsidRPr="00EB3F80">
        <w:rPr>
          <w:sz w:val="26"/>
          <w:szCs w:val="26"/>
        </w:rPr>
        <w:t xml:space="preserve">the </w:t>
      </w:r>
      <w:r w:rsidR="00C41499">
        <w:rPr>
          <w:sz w:val="26"/>
          <w:szCs w:val="26"/>
        </w:rPr>
        <w:t xml:space="preserve">changes </w:t>
      </w:r>
      <w:r w:rsidRPr="00EB3F80">
        <w:rPr>
          <w:sz w:val="26"/>
          <w:szCs w:val="26"/>
        </w:rPr>
        <w:t xml:space="preserve">proposed </w:t>
      </w:r>
      <w:r w:rsidR="00756A3B">
        <w:rPr>
          <w:sz w:val="26"/>
          <w:szCs w:val="26"/>
        </w:rPr>
        <w:t xml:space="preserve">by </w:t>
      </w:r>
      <w:r w:rsidR="00C41499">
        <w:rPr>
          <w:sz w:val="26"/>
          <w:szCs w:val="26"/>
        </w:rPr>
        <w:t xml:space="preserve">PECO and PPL and has </w:t>
      </w:r>
      <w:r w:rsidR="003830DA">
        <w:rPr>
          <w:sz w:val="26"/>
          <w:szCs w:val="26"/>
        </w:rPr>
        <w:t xml:space="preserve">revised </w:t>
      </w:r>
      <w:r w:rsidR="003830DA" w:rsidRPr="00EB3F80">
        <w:rPr>
          <w:sz w:val="26"/>
          <w:szCs w:val="26"/>
        </w:rPr>
        <w:t>TRM</w:t>
      </w:r>
      <w:r w:rsidRPr="00EB3F80">
        <w:rPr>
          <w:sz w:val="26"/>
          <w:szCs w:val="26"/>
        </w:rPr>
        <w:t xml:space="preserve"> accordingly.</w:t>
      </w:r>
    </w:p>
    <w:p w:rsidR="00B52F8D" w:rsidRPr="00EB3F80" w:rsidRDefault="00B52F8D" w:rsidP="00C223E5">
      <w:pPr>
        <w:pStyle w:val="ListParagraph"/>
        <w:spacing w:line="360" w:lineRule="auto"/>
        <w:rPr>
          <w:b/>
          <w:sz w:val="26"/>
          <w:szCs w:val="26"/>
        </w:rPr>
      </w:pPr>
    </w:p>
    <w:p w:rsidR="00E32EBB" w:rsidRPr="002B2D24" w:rsidRDefault="00C223E5" w:rsidP="0052550D">
      <w:pPr>
        <w:pStyle w:val="ListParagraph"/>
        <w:numPr>
          <w:ilvl w:val="0"/>
          <w:numId w:val="7"/>
        </w:numPr>
        <w:spacing w:line="360" w:lineRule="auto"/>
        <w:ind w:left="1440" w:hanging="720"/>
        <w:rPr>
          <w:b/>
          <w:sz w:val="26"/>
          <w:szCs w:val="26"/>
        </w:rPr>
      </w:pPr>
      <w:r w:rsidRPr="002B2D24">
        <w:rPr>
          <w:b/>
          <w:sz w:val="26"/>
          <w:szCs w:val="26"/>
        </w:rPr>
        <w:t>Home Audit Conservation Kits</w:t>
      </w:r>
    </w:p>
    <w:p w:rsidR="00CB0B79" w:rsidRPr="002B2D24" w:rsidRDefault="00CB0B79" w:rsidP="00CB0B79">
      <w:pPr>
        <w:spacing w:line="360" w:lineRule="auto"/>
        <w:ind w:firstLine="720"/>
        <w:rPr>
          <w:sz w:val="26"/>
          <w:szCs w:val="26"/>
        </w:rPr>
      </w:pPr>
    </w:p>
    <w:p w:rsidR="004D015A" w:rsidRPr="002B2D24" w:rsidRDefault="004D015A" w:rsidP="004D015A">
      <w:pPr>
        <w:spacing w:line="360" w:lineRule="auto"/>
        <w:ind w:firstLine="720"/>
        <w:rPr>
          <w:sz w:val="26"/>
          <w:szCs w:val="26"/>
        </w:rPr>
      </w:pPr>
      <w:r w:rsidRPr="002B2D24">
        <w:rPr>
          <w:sz w:val="26"/>
          <w:szCs w:val="26"/>
        </w:rPr>
        <w:t>Home Audit Conservation Kits are energy conservation kits consisting of four compact fluorescent light bulbs (“CFL</w:t>
      </w:r>
      <w:r w:rsidR="007009EC">
        <w:rPr>
          <w:sz w:val="26"/>
          <w:szCs w:val="26"/>
        </w:rPr>
        <w:t>s</w:t>
      </w:r>
      <w:r w:rsidRPr="002B2D24">
        <w:rPr>
          <w:sz w:val="26"/>
          <w:szCs w:val="26"/>
        </w:rPr>
        <w:t xml:space="preserve">”), four faucet aerators, two smart power strips and two light-emitting diode (“LED”) night lights.  Kits are sent to participants </w:t>
      </w:r>
      <w:r w:rsidR="007009EC">
        <w:rPr>
          <w:sz w:val="26"/>
          <w:szCs w:val="26"/>
        </w:rPr>
        <w:t>in</w:t>
      </w:r>
      <w:r w:rsidRPr="002B2D24">
        <w:rPr>
          <w:sz w:val="26"/>
          <w:szCs w:val="26"/>
        </w:rPr>
        <w:t xml:space="preserve"> </w:t>
      </w:r>
      <w:r w:rsidR="007009EC">
        <w:rPr>
          <w:sz w:val="26"/>
          <w:szCs w:val="26"/>
        </w:rPr>
        <w:t>h</w:t>
      </w:r>
      <w:r w:rsidRPr="002B2D24">
        <w:rPr>
          <w:sz w:val="26"/>
          <w:szCs w:val="26"/>
        </w:rPr>
        <w:t xml:space="preserve">ome </w:t>
      </w:r>
      <w:r w:rsidR="007009EC">
        <w:rPr>
          <w:sz w:val="26"/>
          <w:szCs w:val="26"/>
        </w:rPr>
        <w:t>e</w:t>
      </w:r>
      <w:r w:rsidRPr="002B2D24">
        <w:rPr>
          <w:sz w:val="26"/>
          <w:szCs w:val="26"/>
        </w:rPr>
        <w:t xml:space="preserve">nergy </w:t>
      </w:r>
      <w:r w:rsidR="007009EC">
        <w:rPr>
          <w:sz w:val="26"/>
          <w:szCs w:val="26"/>
        </w:rPr>
        <w:t>a</w:t>
      </w:r>
      <w:r w:rsidRPr="002B2D24">
        <w:rPr>
          <w:sz w:val="26"/>
          <w:szCs w:val="26"/>
        </w:rPr>
        <w:t>udit programs.</w:t>
      </w:r>
    </w:p>
    <w:p w:rsidR="004D015A" w:rsidRPr="002B2D24" w:rsidRDefault="004D015A" w:rsidP="004D015A">
      <w:pPr>
        <w:spacing w:line="360" w:lineRule="auto"/>
        <w:ind w:firstLine="720"/>
        <w:rPr>
          <w:b/>
          <w:sz w:val="26"/>
          <w:szCs w:val="26"/>
        </w:rPr>
      </w:pPr>
    </w:p>
    <w:p w:rsidR="004D015A" w:rsidRPr="007009EC" w:rsidRDefault="004D015A" w:rsidP="0052550D">
      <w:pPr>
        <w:pStyle w:val="ListParagraph"/>
        <w:numPr>
          <w:ilvl w:val="1"/>
          <w:numId w:val="7"/>
        </w:numPr>
        <w:spacing w:line="360" w:lineRule="auto"/>
        <w:ind w:left="2160" w:hanging="720"/>
        <w:rPr>
          <w:b/>
          <w:sz w:val="26"/>
          <w:szCs w:val="26"/>
        </w:rPr>
      </w:pPr>
      <w:r w:rsidRPr="007009EC">
        <w:rPr>
          <w:b/>
          <w:sz w:val="26"/>
          <w:szCs w:val="26"/>
        </w:rPr>
        <w:t>Comments</w:t>
      </w:r>
    </w:p>
    <w:p w:rsidR="004D015A" w:rsidRPr="002B2D24" w:rsidRDefault="004D015A" w:rsidP="004D015A">
      <w:pPr>
        <w:spacing w:line="360" w:lineRule="auto"/>
        <w:ind w:firstLine="720"/>
        <w:rPr>
          <w:sz w:val="26"/>
          <w:szCs w:val="26"/>
        </w:rPr>
      </w:pPr>
    </w:p>
    <w:p w:rsidR="004D015A" w:rsidRPr="002B2D24" w:rsidRDefault="004D015A" w:rsidP="004D015A">
      <w:pPr>
        <w:spacing w:line="360" w:lineRule="auto"/>
        <w:ind w:firstLine="720"/>
        <w:rPr>
          <w:sz w:val="26"/>
          <w:szCs w:val="26"/>
        </w:rPr>
      </w:pPr>
      <w:r w:rsidRPr="002B2D24">
        <w:rPr>
          <w:sz w:val="26"/>
          <w:szCs w:val="26"/>
        </w:rPr>
        <w:t xml:space="preserve">PPL commented that the in-service rate for CFLs provided to residential customers who have received a home audit conservation kit is inconsistent with the </w:t>
      </w:r>
      <w:proofErr w:type="spellStart"/>
      <w:r w:rsidRPr="002B2D24">
        <w:rPr>
          <w:sz w:val="26"/>
          <w:szCs w:val="26"/>
        </w:rPr>
        <w:t>in</w:t>
      </w:r>
      <w:r w:rsidR="007009EC">
        <w:rPr>
          <w:sz w:val="26"/>
          <w:szCs w:val="26"/>
        </w:rPr>
        <w:noBreakHyphen/>
      </w:r>
      <w:r w:rsidRPr="002B2D24">
        <w:rPr>
          <w:sz w:val="26"/>
          <w:szCs w:val="26"/>
        </w:rPr>
        <w:t>service</w:t>
      </w:r>
      <w:proofErr w:type="spellEnd"/>
      <w:r w:rsidRPr="002B2D24">
        <w:rPr>
          <w:sz w:val="26"/>
          <w:szCs w:val="26"/>
        </w:rPr>
        <w:t xml:space="preserve"> rate for residential CFLs </w:t>
      </w:r>
      <w:r w:rsidR="007009EC">
        <w:rPr>
          <w:sz w:val="26"/>
          <w:szCs w:val="26"/>
        </w:rPr>
        <w:t>in</w:t>
      </w:r>
      <w:r w:rsidRPr="002B2D24">
        <w:rPr>
          <w:sz w:val="26"/>
          <w:szCs w:val="26"/>
        </w:rPr>
        <w:t xml:space="preserve"> the ENERGY STAR </w:t>
      </w:r>
      <w:r w:rsidR="007009EC">
        <w:rPr>
          <w:sz w:val="26"/>
          <w:szCs w:val="26"/>
        </w:rPr>
        <w:t>l</w:t>
      </w:r>
      <w:r w:rsidRPr="002B2D24">
        <w:rPr>
          <w:sz w:val="26"/>
          <w:szCs w:val="26"/>
        </w:rPr>
        <w:t xml:space="preserve">ighting protocol. </w:t>
      </w:r>
      <w:r w:rsidR="007009EC">
        <w:rPr>
          <w:sz w:val="26"/>
          <w:szCs w:val="26"/>
        </w:rPr>
        <w:t xml:space="preserve"> </w:t>
      </w:r>
      <w:proofErr w:type="gramStart"/>
      <w:r w:rsidRPr="002B2D24">
        <w:rPr>
          <w:sz w:val="26"/>
          <w:szCs w:val="26"/>
        </w:rPr>
        <w:t xml:space="preserve">(PPL </w:t>
      </w:r>
      <w:r w:rsidR="00EE427B">
        <w:rPr>
          <w:sz w:val="26"/>
          <w:szCs w:val="26"/>
        </w:rPr>
        <w:t>C</w:t>
      </w:r>
      <w:r w:rsidRPr="002B2D24">
        <w:rPr>
          <w:sz w:val="26"/>
          <w:szCs w:val="26"/>
        </w:rPr>
        <w:t>omments at 21</w:t>
      </w:r>
      <w:r w:rsidR="007009EC">
        <w:rPr>
          <w:sz w:val="26"/>
          <w:szCs w:val="26"/>
        </w:rPr>
        <w:t>.</w:t>
      </w:r>
      <w:r w:rsidRPr="002B2D24">
        <w:rPr>
          <w:sz w:val="26"/>
          <w:szCs w:val="26"/>
        </w:rPr>
        <w:t>)</w:t>
      </w:r>
      <w:proofErr w:type="gramEnd"/>
      <w:r w:rsidRPr="002B2D24">
        <w:rPr>
          <w:sz w:val="26"/>
          <w:szCs w:val="26"/>
        </w:rPr>
        <w:t xml:space="preserve">  The home audit conservation kit measure currently has the in-service rate value for CFLs listed as “variable” and the source listed as “EDC Gathering Data.”  The ENERGY STAR </w:t>
      </w:r>
      <w:r w:rsidR="00A44530">
        <w:rPr>
          <w:sz w:val="26"/>
          <w:szCs w:val="26"/>
        </w:rPr>
        <w:t>l</w:t>
      </w:r>
      <w:r w:rsidRPr="002B2D24">
        <w:rPr>
          <w:sz w:val="26"/>
          <w:szCs w:val="26"/>
        </w:rPr>
        <w:t xml:space="preserve">ighting protocol lists the in-service rate value as 84 percent and the source for this value is the Nexus Market Research, </w:t>
      </w:r>
      <w:r w:rsidRPr="00A44530">
        <w:rPr>
          <w:i/>
          <w:sz w:val="26"/>
          <w:szCs w:val="26"/>
        </w:rPr>
        <w:t>Impact Evaluation of the Massachusetts, Rhode Island and Vermont 2003 Residential Lighting Programs Final Report</w:t>
      </w:r>
      <w:r w:rsidRPr="002B2D24">
        <w:rPr>
          <w:sz w:val="26"/>
          <w:szCs w:val="26"/>
        </w:rPr>
        <w:t>.</w:t>
      </w:r>
      <w:r w:rsidRPr="002B2D24">
        <w:rPr>
          <w:rStyle w:val="FootnoteReference"/>
          <w:sz w:val="26"/>
          <w:szCs w:val="26"/>
        </w:rPr>
        <w:footnoteReference w:id="14"/>
      </w:r>
      <w:r w:rsidRPr="002B2D24">
        <w:rPr>
          <w:sz w:val="26"/>
          <w:szCs w:val="26"/>
        </w:rPr>
        <w:t xml:space="preserve">  PPL proposed that the in-service rate value be 84 percent for both the home </w:t>
      </w:r>
      <w:r w:rsidRPr="002B2D24">
        <w:rPr>
          <w:sz w:val="26"/>
          <w:szCs w:val="26"/>
        </w:rPr>
        <w:lastRenderedPageBreak/>
        <w:t xml:space="preserve">audit conservation kit and ENERGY STAR lighting measures, as using “EDC Information Gathering” is unnecessarily costly. </w:t>
      </w:r>
      <w:r w:rsidR="00A44530">
        <w:rPr>
          <w:sz w:val="26"/>
          <w:szCs w:val="26"/>
        </w:rPr>
        <w:t xml:space="preserve"> </w:t>
      </w:r>
      <w:proofErr w:type="gramStart"/>
      <w:r w:rsidRPr="002B2D24">
        <w:rPr>
          <w:sz w:val="26"/>
          <w:szCs w:val="26"/>
        </w:rPr>
        <w:t xml:space="preserve">(PPL </w:t>
      </w:r>
      <w:r w:rsidR="00EE427B">
        <w:rPr>
          <w:sz w:val="26"/>
          <w:szCs w:val="26"/>
        </w:rPr>
        <w:t>C</w:t>
      </w:r>
      <w:r w:rsidRPr="002B2D24">
        <w:rPr>
          <w:sz w:val="26"/>
          <w:szCs w:val="26"/>
        </w:rPr>
        <w:t>omments at 21</w:t>
      </w:r>
      <w:r w:rsidR="00A44530">
        <w:rPr>
          <w:sz w:val="26"/>
          <w:szCs w:val="26"/>
        </w:rPr>
        <w:t>.</w:t>
      </w:r>
      <w:r w:rsidRPr="002B2D24">
        <w:rPr>
          <w:sz w:val="26"/>
          <w:szCs w:val="26"/>
        </w:rPr>
        <w:t>)</w:t>
      </w:r>
      <w:proofErr w:type="gramEnd"/>
      <w:r w:rsidRPr="002B2D24">
        <w:rPr>
          <w:sz w:val="26"/>
          <w:szCs w:val="26"/>
        </w:rPr>
        <w:t xml:space="preserve"> </w:t>
      </w:r>
    </w:p>
    <w:p w:rsidR="004D015A" w:rsidRPr="002B2D24" w:rsidRDefault="004D015A" w:rsidP="004D015A">
      <w:pPr>
        <w:spacing w:line="360" w:lineRule="auto"/>
        <w:ind w:firstLine="720"/>
        <w:rPr>
          <w:b/>
          <w:sz w:val="26"/>
          <w:szCs w:val="26"/>
        </w:rPr>
      </w:pPr>
    </w:p>
    <w:p w:rsidR="004D015A" w:rsidRPr="00A44530" w:rsidRDefault="004D015A" w:rsidP="0052550D">
      <w:pPr>
        <w:pStyle w:val="ListParagraph"/>
        <w:numPr>
          <w:ilvl w:val="1"/>
          <w:numId w:val="7"/>
        </w:numPr>
        <w:spacing w:line="360" w:lineRule="auto"/>
        <w:ind w:left="2160" w:hanging="720"/>
        <w:rPr>
          <w:b/>
          <w:sz w:val="26"/>
          <w:szCs w:val="26"/>
        </w:rPr>
      </w:pPr>
      <w:r w:rsidRPr="00A44530">
        <w:rPr>
          <w:b/>
          <w:sz w:val="26"/>
          <w:szCs w:val="26"/>
        </w:rPr>
        <w:t>Disposition</w:t>
      </w:r>
    </w:p>
    <w:p w:rsidR="004D015A" w:rsidRDefault="004D015A" w:rsidP="004D015A">
      <w:pPr>
        <w:spacing w:line="360" w:lineRule="auto"/>
        <w:ind w:firstLine="720"/>
        <w:rPr>
          <w:b/>
          <w:sz w:val="26"/>
          <w:szCs w:val="26"/>
          <w:highlight w:val="yellow"/>
        </w:rPr>
      </w:pPr>
    </w:p>
    <w:p w:rsidR="001B0976" w:rsidRPr="009F1B07" w:rsidRDefault="001B0976" w:rsidP="004D015A">
      <w:pPr>
        <w:spacing w:line="360" w:lineRule="auto"/>
        <w:ind w:firstLine="720"/>
        <w:rPr>
          <w:sz w:val="26"/>
          <w:szCs w:val="26"/>
        </w:rPr>
      </w:pPr>
      <w:r w:rsidRPr="009F1B07">
        <w:rPr>
          <w:sz w:val="26"/>
          <w:szCs w:val="26"/>
        </w:rPr>
        <w:t>The Commission accepts PPL’s proposal to change the in-service rate value to 84 percent for the Home Audit Conservation Kit protocol as based on the Nexus Market Research report noted above</w:t>
      </w:r>
      <w:r w:rsidR="002D2078" w:rsidRPr="009F1B07">
        <w:rPr>
          <w:sz w:val="26"/>
          <w:szCs w:val="26"/>
        </w:rPr>
        <w:t xml:space="preserve"> as this value reflects similar data collected by the SWE</w:t>
      </w:r>
      <w:r w:rsidRPr="009F1B07">
        <w:rPr>
          <w:sz w:val="26"/>
          <w:szCs w:val="26"/>
        </w:rPr>
        <w:t xml:space="preserve">.  The TRM has been updated accordingly.  </w:t>
      </w:r>
    </w:p>
    <w:p w:rsidR="005D5A9C" w:rsidRPr="00EB3F80" w:rsidRDefault="005D5A9C" w:rsidP="00E32EBB">
      <w:pPr>
        <w:spacing w:line="360" w:lineRule="auto"/>
        <w:ind w:left="720"/>
        <w:rPr>
          <w:sz w:val="26"/>
          <w:szCs w:val="26"/>
        </w:rPr>
      </w:pPr>
    </w:p>
    <w:p w:rsidR="006B5753" w:rsidRPr="00EB3F80" w:rsidRDefault="00755D49" w:rsidP="006B5753">
      <w:pPr>
        <w:spacing w:line="360" w:lineRule="auto"/>
        <w:rPr>
          <w:sz w:val="26"/>
          <w:szCs w:val="26"/>
        </w:rPr>
      </w:pPr>
      <w:r w:rsidRPr="00755D49">
        <w:rPr>
          <w:b/>
          <w:sz w:val="26"/>
          <w:szCs w:val="26"/>
        </w:rPr>
        <w:t>B.</w:t>
      </w:r>
      <w:r w:rsidRPr="00755D49">
        <w:rPr>
          <w:b/>
          <w:sz w:val="26"/>
          <w:szCs w:val="26"/>
        </w:rPr>
        <w:tab/>
        <w:t>Additional Commercial and Industrial EE&amp;C Measure Protocols</w:t>
      </w:r>
    </w:p>
    <w:p w:rsidR="006B5753" w:rsidRPr="00EB3F80" w:rsidRDefault="006B5753" w:rsidP="006B5753">
      <w:pPr>
        <w:pStyle w:val="p3"/>
        <w:tabs>
          <w:tab w:val="clear" w:pos="204"/>
        </w:tabs>
        <w:spacing w:line="360" w:lineRule="auto"/>
        <w:rPr>
          <w:sz w:val="26"/>
          <w:szCs w:val="26"/>
        </w:rPr>
      </w:pPr>
    </w:p>
    <w:p w:rsidR="00BE2EB1" w:rsidRPr="00EB3F80" w:rsidRDefault="00755D49" w:rsidP="00BE2EB1">
      <w:pPr>
        <w:pStyle w:val="p3"/>
        <w:tabs>
          <w:tab w:val="clear" w:pos="204"/>
          <w:tab w:val="left" w:pos="720"/>
        </w:tabs>
        <w:spacing w:line="360" w:lineRule="auto"/>
        <w:rPr>
          <w:sz w:val="26"/>
          <w:szCs w:val="26"/>
        </w:rPr>
      </w:pPr>
      <w:r w:rsidRPr="00755D49">
        <w:rPr>
          <w:sz w:val="26"/>
          <w:szCs w:val="26"/>
        </w:rPr>
        <w:tab/>
        <w:t>Based on collaborative discussions between the SWE and the EDCs, and the availabl</w:t>
      </w:r>
      <w:r w:rsidR="009157B8">
        <w:rPr>
          <w:sz w:val="26"/>
          <w:szCs w:val="26"/>
        </w:rPr>
        <w:t>e</w:t>
      </w:r>
      <w:r w:rsidRPr="00755D49">
        <w:rPr>
          <w:sz w:val="26"/>
          <w:szCs w:val="26"/>
        </w:rPr>
        <w:t xml:space="preserve"> research, the following additional C&amp;I EE&amp;C measures and associated protocols </w:t>
      </w:r>
      <w:r w:rsidR="008C76A3">
        <w:rPr>
          <w:sz w:val="26"/>
          <w:szCs w:val="26"/>
        </w:rPr>
        <w:t xml:space="preserve">were proposed in the Tentative Order for </w:t>
      </w:r>
      <w:r w:rsidR="009157B8">
        <w:rPr>
          <w:sz w:val="26"/>
          <w:szCs w:val="26"/>
        </w:rPr>
        <w:t>adopt</w:t>
      </w:r>
      <w:r w:rsidR="008C76A3">
        <w:rPr>
          <w:sz w:val="26"/>
          <w:szCs w:val="26"/>
        </w:rPr>
        <w:t>ion</w:t>
      </w:r>
      <w:r w:rsidRPr="00755D49">
        <w:rPr>
          <w:sz w:val="26"/>
          <w:szCs w:val="26"/>
        </w:rPr>
        <w:t xml:space="preserve"> </w:t>
      </w:r>
      <w:r w:rsidR="009157B8">
        <w:rPr>
          <w:sz w:val="26"/>
          <w:szCs w:val="26"/>
        </w:rPr>
        <w:t>in</w:t>
      </w:r>
      <w:r w:rsidRPr="00755D49">
        <w:rPr>
          <w:sz w:val="26"/>
          <w:szCs w:val="26"/>
        </w:rPr>
        <w:t xml:space="preserve"> the 2011 TRM update:</w:t>
      </w:r>
    </w:p>
    <w:p w:rsidR="00BE2EB1" w:rsidRPr="00EB3F80" w:rsidRDefault="00BE2EB1" w:rsidP="00BE2EB1">
      <w:pPr>
        <w:pStyle w:val="p3"/>
        <w:tabs>
          <w:tab w:val="clear" w:pos="204"/>
          <w:tab w:val="left" w:pos="720"/>
        </w:tabs>
        <w:rPr>
          <w:sz w:val="26"/>
          <w:szCs w:val="26"/>
        </w:rPr>
      </w:pP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Anti Sweat Heater Controls;</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High Efficiency Refrigerator Freezer Cases;</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High Efficiency Evaporator Fan Motors for Reach-In Refrigerator Cases;</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High Efficiency Evaporator Fan Motors for Walk-In Refrigerator Case;</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ENERGY STAR Office Equipment;</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Commercial Smart Strip Plug Outlets;</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Beverage Machine Controls;</w:t>
      </w:r>
    </w:p>
    <w:p w:rsidR="00BE2EB1" w:rsidRPr="00EB3F80" w:rsidRDefault="00755D49" w:rsidP="0052550D">
      <w:pPr>
        <w:pStyle w:val="p3"/>
        <w:numPr>
          <w:ilvl w:val="0"/>
          <w:numId w:val="4"/>
        </w:numPr>
        <w:tabs>
          <w:tab w:val="clear" w:pos="204"/>
          <w:tab w:val="left" w:pos="720"/>
        </w:tabs>
        <w:rPr>
          <w:sz w:val="26"/>
          <w:szCs w:val="26"/>
        </w:rPr>
      </w:pPr>
      <w:r w:rsidRPr="00755D49">
        <w:rPr>
          <w:sz w:val="26"/>
          <w:szCs w:val="26"/>
        </w:rPr>
        <w:t>High Efficiency Ice Machines; and</w:t>
      </w:r>
    </w:p>
    <w:p w:rsidR="006B5753" w:rsidRPr="00EB3F80" w:rsidRDefault="00755D49" w:rsidP="0052550D">
      <w:pPr>
        <w:pStyle w:val="ListParagraph"/>
        <w:numPr>
          <w:ilvl w:val="0"/>
          <w:numId w:val="4"/>
        </w:numPr>
        <w:rPr>
          <w:sz w:val="26"/>
          <w:szCs w:val="26"/>
        </w:rPr>
      </w:pPr>
      <w:r w:rsidRPr="00755D49">
        <w:rPr>
          <w:sz w:val="26"/>
          <w:szCs w:val="26"/>
        </w:rPr>
        <w:t>Wall and Ceiling Insulation.</w:t>
      </w:r>
    </w:p>
    <w:p w:rsidR="006B5753" w:rsidRPr="00EB3F80" w:rsidRDefault="006B5753" w:rsidP="006B5753">
      <w:pPr>
        <w:spacing w:line="360" w:lineRule="auto"/>
        <w:ind w:firstLine="720"/>
        <w:rPr>
          <w:sz w:val="26"/>
          <w:szCs w:val="26"/>
        </w:rPr>
      </w:pPr>
    </w:p>
    <w:p w:rsidR="006B5753" w:rsidRPr="00EB3F80" w:rsidRDefault="00DC4DEF" w:rsidP="00EF68E7">
      <w:pPr>
        <w:spacing w:line="360" w:lineRule="auto"/>
        <w:ind w:firstLine="720"/>
        <w:rPr>
          <w:b/>
          <w:sz w:val="26"/>
          <w:szCs w:val="26"/>
        </w:rPr>
      </w:pPr>
      <w:r>
        <w:rPr>
          <w:sz w:val="26"/>
          <w:szCs w:val="26"/>
        </w:rPr>
        <w:t>The Comments relating to the new C&amp;I measures were fav</w:t>
      </w:r>
      <w:r w:rsidR="009F1B07">
        <w:rPr>
          <w:sz w:val="26"/>
          <w:szCs w:val="26"/>
        </w:rPr>
        <w:t>o</w:t>
      </w:r>
      <w:r>
        <w:rPr>
          <w:sz w:val="26"/>
          <w:szCs w:val="26"/>
        </w:rPr>
        <w:t>rable</w:t>
      </w:r>
      <w:r w:rsidR="00755D49" w:rsidRPr="00755D49">
        <w:rPr>
          <w:sz w:val="26"/>
          <w:szCs w:val="26"/>
        </w:rPr>
        <w:t xml:space="preserve"> (</w:t>
      </w:r>
      <w:r w:rsidRPr="00DC4DEF">
        <w:rPr>
          <w:i/>
          <w:sz w:val="26"/>
          <w:szCs w:val="26"/>
        </w:rPr>
        <w:t>e</w:t>
      </w:r>
      <w:r>
        <w:rPr>
          <w:sz w:val="26"/>
          <w:szCs w:val="26"/>
        </w:rPr>
        <w:t>.</w:t>
      </w:r>
      <w:r w:rsidRPr="00DC4DEF">
        <w:rPr>
          <w:i/>
          <w:sz w:val="26"/>
          <w:szCs w:val="26"/>
        </w:rPr>
        <w:t>g</w:t>
      </w:r>
      <w:r>
        <w:rPr>
          <w:sz w:val="26"/>
          <w:szCs w:val="26"/>
        </w:rPr>
        <w:t xml:space="preserve">. </w:t>
      </w:r>
      <w:r w:rsidR="00755D49" w:rsidRPr="00755D49">
        <w:rPr>
          <w:sz w:val="26"/>
          <w:szCs w:val="26"/>
        </w:rPr>
        <w:t xml:space="preserve">Duquesne </w:t>
      </w:r>
      <w:r w:rsidR="00EE427B">
        <w:rPr>
          <w:sz w:val="26"/>
          <w:szCs w:val="26"/>
        </w:rPr>
        <w:t>C</w:t>
      </w:r>
      <w:r w:rsidR="00755D49" w:rsidRPr="00755D49">
        <w:rPr>
          <w:sz w:val="26"/>
          <w:szCs w:val="26"/>
        </w:rPr>
        <w:t>omments at 6)</w:t>
      </w:r>
      <w:r>
        <w:rPr>
          <w:sz w:val="26"/>
          <w:szCs w:val="26"/>
        </w:rPr>
        <w:t xml:space="preserve"> or provided minor non-substantive </w:t>
      </w:r>
      <w:r w:rsidR="00066294">
        <w:rPr>
          <w:sz w:val="26"/>
          <w:szCs w:val="26"/>
        </w:rPr>
        <w:t>changes and corrections</w:t>
      </w:r>
      <w:r w:rsidR="0026126E">
        <w:rPr>
          <w:sz w:val="26"/>
          <w:szCs w:val="26"/>
        </w:rPr>
        <w:t>.  Therefore, t</w:t>
      </w:r>
      <w:r w:rsidR="00755D49" w:rsidRPr="00755D49">
        <w:rPr>
          <w:sz w:val="26"/>
          <w:szCs w:val="26"/>
        </w:rPr>
        <w:t xml:space="preserve">he Commission adopts the nine new </w:t>
      </w:r>
      <w:r w:rsidR="004C5BBE">
        <w:rPr>
          <w:sz w:val="26"/>
          <w:szCs w:val="26"/>
        </w:rPr>
        <w:t>C&amp;I</w:t>
      </w:r>
      <w:r w:rsidR="00755D49" w:rsidRPr="00755D49">
        <w:rPr>
          <w:sz w:val="26"/>
          <w:szCs w:val="26"/>
        </w:rPr>
        <w:t xml:space="preserve"> measures and associated protocols </w:t>
      </w:r>
      <w:r w:rsidR="0026126E">
        <w:rPr>
          <w:sz w:val="26"/>
          <w:szCs w:val="26"/>
        </w:rPr>
        <w:t>for inclusion in the 2011</w:t>
      </w:r>
      <w:r w:rsidR="00755D49" w:rsidRPr="00755D49">
        <w:rPr>
          <w:sz w:val="26"/>
          <w:szCs w:val="26"/>
        </w:rPr>
        <w:t xml:space="preserve">TRM </w:t>
      </w:r>
      <w:r w:rsidR="0026126E">
        <w:rPr>
          <w:sz w:val="26"/>
          <w:szCs w:val="26"/>
        </w:rPr>
        <w:t>update</w:t>
      </w:r>
      <w:r w:rsidR="00755D49" w:rsidRPr="00755D49">
        <w:rPr>
          <w:sz w:val="26"/>
          <w:szCs w:val="26"/>
        </w:rPr>
        <w:t>.</w:t>
      </w:r>
    </w:p>
    <w:p w:rsidR="0036764F" w:rsidRDefault="0036764F" w:rsidP="006B5753">
      <w:pPr>
        <w:spacing w:line="360" w:lineRule="auto"/>
        <w:ind w:firstLine="720"/>
        <w:rPr>
          <w:sz w:val="26"/>
          <w:szCs w:val="26"/>
        </w:rPr>
      </w:pPr>
    </w:p>
    <w:p w:rsidR="00A003A0" w:rsidRPr="00EB3F80" w:rsidRDefault="00A003A0" w:rsidP="006B5753">
      <w:pPr>
        <w:spacing w:line="360" w:lineRule="auto"/>
        <w:ind w:firstLine="720"/>
        <w:rPr>
          <w:sz w:val="26"/>
          <w:szCs w:val="26"/>
        </w:rPr>
      </w:pPr>
    </w:p>
    <w:p w:rsidR="006B5753" w:rsidRPr="00EB3F80" w:rsidRDefault="00755D49" w:rsidP="00BE2EB1">
      <w:pPr>
        <w:pStyle w:val="p3"/>
        <w:tabs>
          <w:tab w:val="clear" w:pos="204"/>
        </w:tabs>
        <w:ind w:left="720" w:hanging="720"/>
        <w:rPr>
          <w:sz w:val="26"/>
          <w:szCs w:val="26"/>
        </w:rPr>
      </w:pPr>
      <w:r w:rsidRPr="00755D49">
        <w:rPr>
          <w:b/>
          <w:sz w:val="26"/>
          <w:szCs w:val="26"/>
        </w:rPr>
        <w:lastRenderedPageBreak/>
        <w:t>C.</w:t>
      </w:r>
      <w:r w:rsidRPr="00755D49">
        <w:rPr>
          <w:b/>
          <w:sz w:val="26"/>
          <w:szCs w:val="26"/>
        </w:rPr>
        <w:tab/>
        <w:t>Improvements to Existing Commercial and Industrial EE&amp;C Measure Protocols and Processes</w:t>
      </w:r>
    </w:p>
    <w:p w:rsidR="006B5753" w:rsidRPr="00EB3F80" w:rsidRDefault="006B5753" w:rsidP="006B5753">
      <w:pPr>
        <w:pStyle w:val="p3"/>
        <w:tabs>
          <w:tab w:val="clear" w:pos="204"/>
        </w:tabs>
        <w:spacing w:line="360" w:lineRule="auto"/>
        <w:rPr>
          <w:sz w:val="26"/>
          <w:szCs w:val="26"/>
        </w:rPr>
      </w:pPr>
    </w:p>
    <w:p w:rsidR="00BE2EB1" w:rsidRPr="00EB3F80" w:rsidRDefault="00755D49" w:rsidP="00BE2EB1">
      <w:pPr>
        <w:pStyle w:val="p3"/>
        <w:tabs>
          <w:tab w:val="clear" w:pos="204"/>
          <w:tab w:val="left" w:pos="720"/>
        </w:tabs>
        <w:spacing w:line="360" w:lineRule="auto"/>
        <w:rPr>
          <w:sz w:val="26"/>
          <w:szCs w:val="26"/>
        </w:rPr>
      </w:pPr>
      <w:r w:rsidRPr="00755D49">
        <w:rPr>
          <w:sz w:val="26"/>
          <w:szCs w:val="26"/>
        </w:rPr>
        <w:tab/>
        <w:t>Significant improvements to the 2009 TRM were made in the 2010 TRM Update. As program year one</w:t>
      </w:r>
      <w:r w:rsidR="0026126E">
        <w:rPr>
          <w:rStyle w:val="FootnoteReference"/>
          <w:sz w:val="26"/>
          <w:szCs w:val="26"/>
        </w:rPr>
        <w:footnoteReference w:id="15"/>
      </w:r>
      <w:r w:rsidRPr="00755D49">
        <w:rPr>
          <w:sz w:val="26"/>
          <w:szCs w:val="26"/>
        </w:rPr>
        <w:t xml:space="preserve"> (“PY1”) progressed, it became apparent that other improvements to existing TRM protocols and processes would help the EDCs attain the goals of the EE&amp;C Program.  Specifically, the proposed 2011 TRM Update clarifies</w:t>
      </w:r>
      <w:r w:rsidR="00843E12">
        <w:rPr>
          <w:sz w:val="26"/>
          <w:szCs w:val="26"/>
        </w:rPr>
        <w:t xml:space="preserve"> code references and protocols for the C&amp;I</w:t>
      </w:r>
      <w:r w:rsidRPr="00755D49">
        <w:rPr>
          <w:sz w:val="26"/>
          <w:szCs w:val="26"/>
        </w:rPr>
        <w:t xml:space="preserve"> </w:t>
      </w:r>
      <w:r w:rsidR="00843E12">
        <w:rPr>
          <w:sz w:val="26"/>
          <w:szCs w:val="26"/>
        </w:rPr>
        <w:t>lighting,</w:t>
      </w:r>
      <w:r w:rsidRPr="00755D49">
        <w:rPr>
          <w:sz w:val="26"/>
          <w:szCs w:val="26"/>
        </w:rPr>
        <w:t xml:space="preserve"> motor</w:t>
      </w:r>
      <w:r w:rsidR="00843E12">
        <w:rPr>
          <w:sz w:val="26"/>
          <w:szCs w:val="26"/>
        </w:rPr>
        <w:t>s,</w:t>
      </w:r>
      <w:r w:rsidRPr="00755D49">
        <w:rPr>
          <w:sz w:val="26"/>
          <w:szCs w:val="26"/>
        </w:rPr>
        <w:t xml:space="preserve"> variable frequency drives (“VFD”), and </w:t>
      </w:r>
      <w:r w:rsidR="00843E12">
        <w:rPr>
          <w:sz w:val="26"/>
          <w:szCs w:val="26"/>
        </w:rPr>
        <w:t>chillers</w:t>
      </w:r>
      <w:r w:rsidRPr="00755D49">
        <w:rPr>
          <w:sz w:val="26"/>
          <w:szCs w:val="26"/>
        </w:rPr>
        <w:t xml:space="preserve">.  These recommended improvements to existing EE&amp;C measure protocols and processes will improve the functionality of the TRM and enhance its scope. </w:t>
      </w:r>
    </w:p>
    <w:p w:rsidR="00BE2EB1" w:rsidRPr="00EB3F80" w:rsidRDefault="00BE2EB1" w:rsidP="00BE2EB1">
      <w:pPr>
        <w:pStyle w:val="p3"/>
        <w:tabs>
          <w:tab w:val="clear" w:pos="204"/>
          <w:tab w:val="left" w:pos="720"/>
        </w:tabs>
        <w:spacing w:line="360" w:lineRule="auto"/>
        <w:rPr>
          <w:sz w:val="26"/>
          <w:szCs w:val="26"/>
        </w:rPr>
      </w:pPr>
    </w:p>
    <w:p w:rsidR="00BE2EB1" w:rsidRPr="00EB3F80" w:rsidRDefault="00755D49" w:rsidP="0052550D">
      <w:pPr>
        <w:pStyle w:val="p3"/>
        <w:numPr>
          <w:ilvl w:val="1"/>
          <w:numId w:val="5"/>
        </w:numPr>
        <w:tabs>
          <w:tab w:val="clear" w:pos="204"/>
          <w:tab w:val="left" w:pos="720"/>
        </w:tabs>
        <w:spacing w:line="360" w:lineRule="auto"/>
        <w:ind w:hanging="720"/>
        <w:rPr>
          <w:b/>
          <w:caps/>
          <w:sz w:val="26"/>
          <w:szCs w:val="26"/>
        </w:rPr>
      </w:pPr>
      <w:r w:rsidRPr="00755D49">
        <w:rPr>
          <w:b/>
          <w:sz w:val="26"/>
          <w:szCs w:val="26"/>
        </w:rPr>
        <w:t>Clarification of Lighting Protocols</w:t>
      </w:r>
    </w:p>
    <w:p w:rsidR="00BE2EB1" w:rsidRPr="00EB3F80" w:rsidRDefault="00BE2EB1" w:rsidP="00BE2EB1">
      <w:pPr>
        <w:pStyle w:val="p3"/>
        <w:tabs>
          <w:tab w:val="clear" w:pos="204"/>
          <w:tab w:val="left" w:pos="720"/>
        </w:tabs>
        <w:spacing w:line="360" w:lineRule="auto"/>
        <w:rPr>
          <w:sz w:val="26"/>
          <w:szCs w:val="26"/>
        </w:rPr>
      </w:pPr>
    </w:p>
    <w:p w:rsidR="00BE2EB1" w:rsidRPr="00EB3F80" w:rsidRDefault="00755D49" w:rsidP="00BE2EB1">
      <w:pPr>
        <w:pStyle w:val="p3"/>
        <w:tabs>
          <w:tab w:val="clear" w:pos="204"/>
          <w:tab w:val="left" w:pos="720"/>
        </w:tabs>
        <w:spacing w:line="360" w:lineRule="auto"/>
        <w:rPr>
          <w:sz w:val="26"/>
          <w:szCs w:val="26"/>
        </w:rPr>
      </w:pPr>
      <w:r w:rsidRPr="00755D49">
        <w:rPr>
          <w:sz w:val="26"/>
          <w:szCs w:val="26"/>
        </w:rPr>
        <w:tab/>
        <w:t>The proposed expansion and improvement to the C&amp;I Lighting pro</w:t>
      </w:r>
      <w:r w:rsidR="004C3753">
        <w:rPr>
          <w:sz w:val="26"/>
          <w:szCs w:val="26"/>
        </w:rPr>
        <w:t>tocols contained in Appendix C of</w:t>
      </w:r>
      <w:r w:rsidRPr="00755D49">
        <w:rPr>
          <w:sz w:val="26"/>
          <w:szCs w:val="26"/>
        </w:rPr>
        <w:t xml:space="preserve"> the TRM are important improvements.  In addition to increasing the number of standard lamp ballast combinations available, the lighting protocol now supports more building types to eliminate the need for custom metering.  To increase the flexibility of Appendix C, the proposed 2011 update clarifies the process for entering new lamp ballast combinations supported by appropriate documentation.  This new proce</w:t>
      </w:r>
      <w:r w:rsidR="008F3125">
        <w:rPr>
          <w:sz w:val="26"/>
          <w:szCs w:val="26"/>
        </w:rPr>
        <w:t>ss allows EDCs to use new, well-</w:t>
      </w:r>
      <w:r w:rsidRPr="00755D49">
        <w:rPr>
          <w:sz w:val="26"/>
          <w:szCs w:val="26"/>
        </w:rPr>
        <w:t xml:space="preserve">documented, lamp and ballast combinations without waiting for further TRM Updates.  This added flexibility is expected to improve the ability of lighting designers to use the best and newest lighting technology as part of an EDC EE&amp;C </w:t>
      </w:r>
      <w:r w:rsidR="00C867A1">
        <w:rPr>
          <w:sz w:val="26"/>
          <w:szCs w:val="26"/>
        </w:rPr>
        <w:t>p</w:t>
      </w:r>
      <w:r w:rsidRPr="00755D49">
        <w:rPr>
          <w:sz w:val="26"/>
          <w:szCs w:val="26"/>
        </w:rPr>
        <w:t>rogram with reduced evaluation, measurement and verification (“EM&amp;V”) expenditures.</w:t>
      </w:r>
    </w:p>
    <w:p w:rsidR="00BE2EB1" w:rsidRPr="00EB3F80" w:rsidRDefault="00BE2EB1" w:rsidP="00BE2EB1">
      <w:pPr>
        <w:pStyle w:val="p3"/>
        <w:tabs>
          <w:tab w:val="clear" w:pos="204"/>
          <w:tab w:val="left" w:pos="720"/>
        </w:tabs>
        <w:spacing w:line="360" w:lineRule="auto"/>
        <w:rPr>
          <w:sz w:val="26"/>
          <w:szCs w:val="26"/>
        </w:rPr>
      </w:pPr>
    </w:p>
    <w:p w:rsidR="00BE2EB1" w:rsidRPr="00EB3F80" w:rsidRDefault="00755D49" w:rsidP="00BE2EB1">
      <w:pPr>
        <w:pStyle w:val="p3"/>
        <w:tabs>
          <w:tab w:val="clear" w:pos="204"/>
          <w:tab w:val="left" w:pos="720"/>
        </w:tabs>
        <w:spacing w:line="360" w:lineRule="auto"/>
        <w:rPr>
          <w:sz w:val="26"/>
          <w:szCs w:val="26"/>
        </w:rPr>
      </w:pPr>
      <w:r w:rsidRPr="00755D49">
        <w:rPr>
          <w:sz w:val="26"/>
          <w:szCs w:val="26"/>
        </w:rPr>
        <w:tab/>
        <w:t xml:space="preserve">The proposed 2011 TRM </w:t>
      </w:r>
      <w:r w:rsidR="00FA38F8">
        <w:rPr>
          <w:sz w:val="26"/>
          <w:szCs w:val="26"/>
        </w:rPr>
        <w:t xml:space="preserve">also </w:t>
      </w:r>
      <w:r w:rsidRPr="00755D49">
        <w:rPr>
          <w:sz w:val="26"/>
          <w:szCs w:val="26"/>
        </w:rPr>
        <w:t>expand</w:t>
      </w:r>
      <w:r w:rsidR="00FA38F8">
        <w:rPr>
          <w:sz w:val="26"/>
          <w:szCs w:val="26"/>
        </w:rPr>
        <w:t>ed</w:t>
      </w:r>
      <w:r w:rsidRPr="00755D49">
        <w:rPr>
          <w:sz w:val="26"/>
          <w:szCs w:val="26"/>
        </w:rPr>
        <w:t xml:space="preserve"> the available lamp and ballast combinations found in Appendix C to the TRM</w:t>
      </w:r>
      <w:r w:rsidR="003E6E19">
        <w:rPr>
          <w:sz w:val="26"/>
          <w:szCs w:val="26"/>
        </w:rPr>
        <w:t xml:space="preserve">, which is expected to increase EDCs’ ability to achieve savings for the offered lighting programs with a corresponding </w:t>
      </w:r>
      <w:r w:rsidR="003E6E19">
        <w:rPr>
          <w:sz w:val="26"/>
          <w:szCs w:val="26"/>
        </w:rPr>
        <w:lastRenderedPageBreak/>
        <w:t>reduction in EM&amp;V costs</w:t>
      </w:r>
      <w:r w:rsidRPr="00755D49">
        <w:rPr>
          <w:sz w:val="26"/>
          <w:szCs w:val="26"/>
        </w:rPr>
        <w:t xml:space="preserve">.  </w:t>
      </w:r>
      <w:r w:rsidRPr="00755D49">
        <w:rPr>
          <w:sz w:val="26"/>
          <w:szCs w:val="26"/>
        </w:rPr>
        <w:tab/>
        <w:t>Additional proposed changes to the C&amp;I lighting section of the TRM are designed to make the section easier for program implementers and evaluators to use</w:t>
      </w:r>
      <w:r w:rsidR="00DC0749">
        <w:rPr>
          <w:sz w:val="26"/>
          <w:szCs w:val="26"/>
        </w:rPr>
        <w:t xml:space="preserve"> and to reduce the amount </w:t>
      </w:r>
      <w:r w:rsidRPr="00755D49">
        <w:rPr>
          <w:sz w:val="26"/>
          <w:szCs w:val="26"/>
        </w:rPr>
        <w:t xml:space="preserve">of time spent re-entering data from electronic vendor lighting audits into the TRM Appendix C Lighting Audit and Design Tool.  </w:t>
      </w:r>
      <w:r w:rsidR="00DC0749">
        <w:rPr>
          <w:sz w:val="26"/>
          <w:szCs w:val="26"/>
        </w:rPr>
        <w:t>The</w:t>
      </w:r>
      <w:r w:rsidRPr="00755D49">
        <w:rPr>
          <w:sz w:val="26"/>
          <w:szCs w:val="26"/>
        </w:rPr>
        <w:t xml:space="preserve"> proposed changes</w:t>
      </w:r>
      <w:r w:rsidR="00DC0749">
        <w:rPr>
          <w:sz w:val="26"/>
          <w:szCs w:val="26"/>
        </w:rPr>
        <w:t xml:space="preserve"> will</w:t>
      </w:r>
      <w:r w:rsidRPr="00755D49">
        <w:rPr>
          <w:sz w:val="26"/>
          <w:szCs w:val="26"/>
        </w:rPr>
        <w:t xml:space="preserve"> allow EDCs to leverage vendor electronic documentation to provide verification of values calculated in the Lighting Audit and Design Tool.</w:t>
      </w:r>
    </w:p>
    <w:p w:rsidR="00BE2EB1" w:rsidRPr="00EB3F80" w:rsidRDefault="00BE2EB1" w:rsidP="00BE2EB1">
      <w:pPr>
        <w:pStyle w:val="p3"/>
        <w:tabs>
          <w:tab w:val="clear" w:pos="204"/>
          <w:tab w:val="left" w:pos="720"/>
        </w:tabs>
        <w:spacing w:line="360" w:lineRule="auto"/>
        <w:rPr>
          <w:sz w:val="26"/>
          <w:szCs w:val="26"/>
        </w:rPr>
      </w:pPr>
    </w:p>
    <w:p w:rsidR="00BE2EB1" w:rsidRPr="00EB3F80" w:rsidRDefault="00755D49" w:rsidP="0052550D">
      <w:pPr>
        <w:pStyle w:val="p3"/>
        <w:numPr>
          <w:ilvl w:val="1"/>
          <w:numId w:val="7"/>
        </w:numPr>
        <w:tabs>
          <w:tab w:val="clear" w:pos="204"/>
          <w:tab w:val="left" w:pos="720"/>
        </w:tabs>
        <w:spacing w:line="360" w:lineRule="auto"/>
        <w:ind w:left="2160" w:hanging="720"/>
        <w:rPr>
          <w:sz w:val="26"/>
          <w:szCs w:val="26"/>
        </w:rPr>
      </w:pPr>
      <w:r w:rsidRPr="00755D49">
        <w:rPr>
          <w:b/>
          <w:sz w:val="26"/>
          <w:szCs w:val="26"/>
        </w:rPr>
        <w:t>Comments</w:t>
      </w:r>
    </w:p>
    <w:p w:rsidR="009C3154" w:rsidRPr="00EB3F80" w:rsidRDefault="00755D49" w:rsidP="008851BA">
      <w:pPr>
        <w:pStyle w:val="p3"/>
        <w:tabs>
          <w:tab w:val="clear" w:pos="204"/>
          <w:tab w:val="left" w:pos="720"/>
        </w:tabs>
        <w:spacing w:line="360" w:lineRule="auto"/>
        <w:rPr>
          <w:sz w:val="26"/>
          <w:szCs w:val="26"/>
        </w:rPr>
      </w:pPr>
      <w:r w:rsidRPr="00755D49">
        <w:rPr>
          <w:sz w:val="26"/>
          <w:szCs w:val="26"/>
        </w:rPr>
        <w:tab/>
      </w:r>
    </w:p>
    <w:p w:rsidR="008851BA" w:rsidRPr="00EB3F80" w:rsidRDefault="00755D49" w:rsidP="008851BA">
      <w:pPr>
        <w:pStyle w:val="p3"/>
        <w:tabs>
          <w:tab w:val="clear" w:pos="204"/>
          <w:tab w:val="left" w:pos="720"/>
        </w:tabs>
        <w:spacing w:line="360" w:lineRule="auto"/>
        <w:rPr>
          <w:sz w:val="26"/>
          <w:szCs w:val="26"/>
        </w:rPr>
      </w:pPr>
      <w:r w:rsidRPr="00755D49">
        <w:rPr>
          <w:sz w:val="26"/>
          <w:szCs w:val="26"/>
        </w:rPr>
        <w:tab/>
        <w:t xml:space="preserve">Many of the </w:t>
      </w:r>
      <w:r w:rsidR="00FA38F8">
        <w:rPr>
          <w:sz w:val="26"/>
          <w:szCs w:val="26"/>
        </w:rPr>
        <w:t>Commenters</w:t>
      </w:r>
      <w:r w:rsidRPr="00755D49">
        <w:rPr>
          <w:sz w:val="26"/>
          <w:szCs w:val="26"/>
        </w:rPr>
        <w:t xml:space="preserve"> addressed </w:t>
      </w:r>
      <w:r w:rsidR="00CA7724">
        <w:rPr>
          <w:sz w:val="26"/>
          <w:szCs w:val="26"/>
        </w:rPr>
        <w:t xml:space="preserve">the TRM </w:t>
      </w:r>
      <w:r w:rsidRPr="00755D49">
        <w:rPr>
          <w:sz w:val="26"/>
          <w:szCs w:val="26"/>
        </w:rPr>
        <w:t>Section 3.2</w:t>
      </w:r>
      <w:r w:rsidR="00F00DE2">
        <w:rPr>
          <w:sz w:val="26"/>
          <w:szCs w:val="26"/>
        </w:rPr>
        <w:t>:</w:t>
      </w:r>
      <w:r w:rsidRPr="00755D49">
        <w:rPr>
          <w:sz w:val="26"/>
          <w:szCs w:val="26"/>
        </w:rPr>
        <w:t xml:space="preserve"> Lighting Equipment Improvements and Appendix C, Lighting Audit and Design Tool.  These comments included requests for modifications to tables used in the calculation of savings, to address inconsistenc</w:t>
      </w:r>
      <w:r w:rsidR="00CA7724">
        <w:rPr>
          <w:sz w:val="26"/>
          <w:szCs w:val="26"/>
        </w:rPr>
        <w:t>ies</w:t>
      </w:r>
      <w:r w:rsidRPr="00755D49">
        <w:rPr>
          <w:sz w:val="26"/>
          <w:szCs w:val="26"/>
        </w:rPr>
        <w:t xml:space="preserve"> and to provide clerical corrections.</w:t>
      </w:r>
    </w:p>
    <w:p w:rsidR="008851BA" w:rsidRPr="00EB3F80" w:rsidRDefault="008851BA" w:rsidP="008851BA">
      <w:pPr>
        <w:pStyle w:val="p3"/>
        <w:tabs>
          <w:tab w:val="clear" w:pos="204"/>
          <w:tab w:val="left" w:pos="720"/>
        </w:tabs>
        <w:spacing w:line="360" w:lineRule="auto"/>
        <w:rPr>
          <w:sz w:val="26"/>
          <w:szCs w:val="26"/>
        </w:rPr>
      </w:pPr>
    </w:p>
    <w:p w:rsidR="00E5602C" w:rsidRPr="00EB3F80" w:rsidRDefault="00755D49" w:rsidP="00113789">
      <w:pPr>
        <w:pStyle w:val="p3"/>
        <w:tabs>
          <w:tab w:val="clear" w:pos="204"/>
          <w:tab w:val="left" w:pos="720"/>
        </w:tabs>
        <w:spacing w:line="360" w:lineRule="auto"/>
        <w:rPr>
          <w:sz w:val="26"/>
          <w:szCs w:val="26"/>
        </w:rPr>
      </w:pPr>
      <w:r w:rsidRPr="00755D49">
        <w:rPr>
          <w:sz w:val="26"/>
          <w:szCs w:val="26"/>
        </w:rPr>
        <w:tab/>
        <w:t>Several comments centered on Table 3.2</w:t>
      </w:r>
      <w:r w:rsidR="00F00DE2">
        <w:rPr>
          <w:sz w:val="26"/>
          <w:szCs w:val="26"/>
        </w:rPr>
        <w:t>:</w:t>
      </w:r>
      <w:r w:rsidRPr="00755D49">
        <w:rPr>
          <w:sz w:val="26"/>
          <w:szCs w:val="26"/>
        </w:rPr>
        <w:t xml:space="preserve"> Hours of Use for Usage Groups and Table 3.5</w:t>
      </w:r>
      <w:r w:rsidR="00F00DE2">
        <w:rPr>
          <w:sz w:val="26"/>
          <w:szCs w:val="26"/>
        </w:rPr>
        <w:t>:</w:t>
      </w:r>
      <w:r w:rsidRPr="00755D49">
        <w:rPr>
          <w:sz w:val="26"/>
          <w:szCs w:val="26"/>
        </w:rPr>
        <w:t xml:space="preserve"> Lighting EFLH and CF by Building Type.</w:t>
      </w:r>
      <w:r w:rsidR="009F34FE">
        <w:rPr>
          <w:rStyle w:val="FootnoteReference"/>
          <w:sz w:val="26"/>
          <w:szCs w:val="26"/>
        </w:rPr>
        <w:footnoteReference w:id="16"/>
      </w:r>
      <w:r w:rsidRPr="00755D49">
        <w:rPr>
          <w:sz w:val="26"/>
          <w:szCs w:val="26"/>
        </w:rPr>
        <w:t xml:space="preserve">  PPL suggested that these tables be combined. </w:t>
      </w:r>
      <w:r w:rsidR="00BF52AB">
        <w:rPr>
          <w:sz w:val="26"/>
          <w:szCs w:val="26"/>
        </w:rPr>
        <w:t xml:space="preserve"> </w:t>
      </w:r>
      <w:proofErr w:type="gramStart"/>
      <w:r w:rsidRPr="00755D49">
        <w:rPr>
          <w:sz w:val="26"/>
          <w:szCs w:val="26"/>
        </w:rPr>
        <w:t xml:space="preserve">(PPL </w:t>
      </w:r>
      <w:r w:rsidR="00EE427B">
        <w:rPr>
          <w:sz w:val="26"/>
          <w:szCs w:val="26"/>
        </w:rPr>
        <w:t>C</w:t>
      </w:r>
      <w:r w:rsidRPr="00755D49">
        <w:rPr>
          <w:sz w:val="26"/>
          <w:szCs w:val="26"/>
        </w:rPr>
        <w:t>omments at 25</w:t>
      </w:r>
      <w:r w:rsidR="00CA7724">
        <w:rPr>
          <w:sz w:val="26"/>
          <w:szCs w:val="26"/>
        </w:rPr>
        <w:t>.</w:t>
      </w:r>
      <w:r w:rsidRPr="00755D49">
        <w:rPr>
          <w:sz w:val="26"/>
          <w:szCs w:val="26"/>
        </w:rPr>
        <w:t>)</w:t>
      </w:r>
      <w:proofErr w:type="gramEnd"/>
      <w:r w:rsidRPr="00755D49">
        <w:rPr>
          <w:sz w:val="26"/>
          <w:szCs w:val="26"/>
        </w:rPr>
        <w:t xml:space="preserve">  PPL further noted that it does not support the addition of any new lighting hours of use stipulated in Table 3.2 that are less than those currently approved in the 2010 TRM.</w:t>
      </w:r>
      <w:r w:rsidR="00BF52AB">
        <w:rPr>
          <w:sz w:val="26"/>
          <w:szCs w:val="26"/>
        </w:rPr>
        <w:t xml:space="preserve"> </w:t>
      </w:r>
      <w:r w:rsidRPr="00755D49">
        <w:rPr>
          <w:sz w:val="26"/>
          <w:szCs w:val="26"/>
        </w:rPr>
        <w:t xml:space="preserve"> (PPL comments at 26</w:t>
      </w:r>
      <w:r w:rsidR="00CA7724">
        <w:rPr>
          <w:sz w:val="26"/>
          <w:szCs w:val="26"/>
        </w:rPr>
        <w:t>.</w:t>
      </w:r>
      <w:r w:rsidRPr="00755D49">
        <w:rPr>
          <w:sz w:val="26"/>
          <w:szCs w:val="26"/>
        </w:rPr>
        <w:t xml:space="preserve">)  Duquesne, FirstEnergy and PPL suggested that additional functional use patterns be added to Tables 3.2 or 3.5.  These </w:t>
      </w:r>
      <w:r w:rsidR="00CA7724">
        <w:rPr>
          <w:sz w:val="26"/>
          <w:szCs w:val="26"/>
        </w:rPr>
        <w:t xml:space="preserve">Commenters also </w:t>
      </w:r>
      <w:r w:rsidRPr="00755D49">
        <w:rPr>
          <w:sz w:val="26"/>
          <w:szCs w:val="26"/>
        </w:rPr>
        <w:t>suggest</w:t>
      </w:r>
      <w:r w:rsidR="00CA7724">
        <w:rPr>
          <w:sz w:val="26"/>
          <w:szCs w:val="26"/>
        </w:rPr>
        <w:t>ed</w:t>
      </w:r>
      <w:r w:rsidRPr="00755D49">
        <w:rPr>
          <w:sz w:val="26"/>
          <w:szCs w:val="26"/>
        </w:rPr>
        <w:t xml:space="preserve"> </w:t>
      </w:r>
      <w:r w:rsidR="00EE427B">
        <w:rPr>
          <w:sz w:val="26"/>
          <w:szCs w:val="26"/>
        </w:rPr>
        <w:t xml:space="preserve">other </w:t>
      </w:r>
      <w:r w:rsidRPr="00755D49">
        <w:rPr>
          <w:sz w:val="26"/>
          <w:szCs w:val="26"/>
        </w:rPr>
        <w:t>additions to Table 3.2</w:t>
      </w:r>
      <w:r w:rsidR="00EE427B">
        <w:rPr>
          <w:sz w:val="26"/>
          <w:szCs w:val="26"/>
        </w:rPr>
        <w:t>,</w:t>
      </w:r>
      <w:r w:rsidRPr="00755D49">
        <w:rPr>
          <w:sz w:val="26"/>
          <w:szCs w:val="26"/>
        </w:rPr>
        <w:t xml:space="preserve"> including one, two and three shift industrial facilities categories, adding an industrial office space category and adding a refrigerated warehouse category with an appropriate interaction factor (“IF”) in Table 3.6. </w:t>
      </w:r>
      <w:r w:rsidR="00BF52AB">
        <w:rPr>
          <w:sz w:val="26"/>
          <w:szCs w:val="26"/>
        </w:rPr>
        <w:t xml:space="preserve"> </w:t>
      </w:r>
      <w:r w:rsidRPr="00755D49">
        <w:rPr>
          <w:sz w:val="26"/>
          <w:szCs w:val="26"/>
        </w:rPr>
        <w:t xml:space="preserve">(Duquesne </w:t>
      </w:r>
      <w:r w:rsidR="00EE427B">
        <w:rPr>
          <w:sz w:val="26"/>
          <w:szCs w:val="26"/>
        </w:rPr>
        <w:t>C</w:t>
      </w:r>
      <w:r w:rsidRPr="00755D49">
        <w:rPr>
          <w:sz w:val="26"/>
          <w:szCs w:val="26"/>
        </w:rPr>
        <w:t>omments at 6</w:t>
      </w:r>
      <w:r w:rsidR="00EE427B">
        <w:rPr>
          <w:sz w:val="26"/>
          <w:szCs w:val="26"/>
        </w:rPr>
        <w:t xml:space="preserve"> and </w:t>
      </w:r>
      <w:r w:rsidRPr="00755D49">
        <w:rPr>
          <w:sz w:val="26"/>
          <w:szCs w:val="26"/>
        </w:rPr>
        <w:t xml:space="preserve">7, FirstEnergy </w:t>
      </w:r>
      <w:r w:rsidR="00EE427B">
        <w:rPr>
          <w:sz w:val="26"/>
          <w:szCs w:val="26"/>
        </w:rPr>
        <w:t>C</w:t>
      </w:r>
      <w:r w:rsidRPr="00755D49">
        <w:rPr>
          <w:sz w:val="26"/>
          <w:szCs w:val="26"/>
        </w:rPr>
        <w:t xml:space="preserve">omments at 15, </w:t>
      </w:r>
      <w:r w:rsidR="00EE427B">
        <w:rPr>
          <w:sz w:val="26"/>
          <w:szCs w:val="26"/>
        </w:rPr>
        <w:t xml:space="preserve">and </w:t>
      </w:r>
      <w:r w:rsidRPr="00755D49">
        <w:rPr>
          <w:sz w:val="26"/>
          <w:szCs w:val="26"/>
        </w:rPr>
        <w:t xml:space="preserve">PPL </w:t>
      </w:r>
      <w:r w:rsidR="00EE427B">
        <w:rPr>
          <w:sz w:val="26"/>
          <w:szCs w:val="26"/>
        </w:rPr>
        <w:t>C</w:t>
      </w:r>
      <w:r w:rsidRPr="00755D49">
        <w:rPr>
          <w:sz w:val="26"/>
          <w:szCs w:val="26"/>
        </w:rPr>
        <w:t>omments at 26</w:t>
      </w:r>
      <w:r w:rsidR="00EE427B">
        <w:rPr>
          <w:sz w:val="26"/>
          <w:szCs w:val="26"/>
        </w:rPr>
        <w:t>.</w:t>
      </w:r>
      <w:r w:rsidRPr="00755D49">
        <w:rPr>
          <w:sz w:val="26"/>
          <w:szCs w:val="26"/>
        </w:rPr>
        <w:t xml:space="preserve">)  </w:t>
      </w:r>
    </w:p>
    <w:p w:rsidR="00E5602C" w:rsidRDefault="00E5602C" w:rsidP="00113789">
      <w:pPr>
        <w:pStyle w:val="p3"/>
        <w:tabs>
          <w:tab w:val="clear" w:pos="204"/>
          <w:tab w:val="left" w:pos="720"/>
        </w:tabs>
        <w:spacing w:line="360" w:lineRule="auto"/>
        <w:rPr>
          <w:sz w:val="26"/>
          <w:szCs w:val="26"/>
        </w:rPr>
      </w:pPr>
    </w:p>
    <w:p w:rsidR="00A003A0" w:rsidRPr="00EB3F80" w:rsidRDefault="00A003A0" w:rsidP="00113789">
      <w:pPr>
        <w:pStyle w:val="p3"/>
        <w:tabs>
          <w:tab w:val="clear" w:pos="204"/>
          <w:tab w:val="left" w:pos="720"/>
        </w:tabs>
        <w:spacing w:line="360" w:lineRule="auto"/>
        <w:rPr>
          <w:sz w:val="26"/>
          <w:szCs w:val="26"/>
        </w:rPr>
      </w:pPr>
    </w:p>
    <w:p w:rsidR="00E5602C" w:rsidRPr="00EB3F80" w:rsidRDefault="00755D49" w:rsidP="00113789">
      <w:pPr>
        <w:pStyle w:val="p3"/>
        <w:tabs>
          <w:tab w:val="clear" w:pos="204"/>
          <w:tab w:val="left" w:pos="720"/>
        </w:tabs>
        <w:spacing w:line="360" w:lineRule="auto"/>
        <w:rPr>
          <w:sz w:val="26"/>
          <w:szCs w:val="26"/>
        </w:rPr>
      </w:pPr>
      <w:r w:rsidRPr="00755D49">
        <w:rPr>
          <w:sz w:val="26"/>
          <w:szCs w:val="26"/>
        </w:rPr>
        <w:lastRenderedPageBreak/>
        <w:tab/>
      </w:r>
      <w:r w:rsidR="00BC2714" w:rsidRPr="00EB3F80">
        <w:rPr>
          <w:sz w:val="26"/>
          <w:szCs w:val="26"/>
        </w:rPr>
        <w:t>A</w:t>
      </w:r>
      <w:r w:rsidR="00246BF5" w:rsidRPr="00EB3F80">
        <w:rPr>
          <w:sz w:val="26"/>
          <w:szCs w:val="26"/>
        </w:rPr>
        <w:t xml:space="preserve">llegheny </w:t>
      </w:r>
      <w:r w:rsidR="00BC2714" w:rsidRPr="00EB3F80">
        <w:rPr>
          <w:sz w:val="26"/>
          <w:szCs w:val="26"/>
        </w:rPr>
        <w:t>P</w:t>
      </w:r>
      <w:r w:rsidR="00246BF5" w:rsidRPr="00EB3F80">
        <w:rPr>
          <w:sz w:val="26"/>
          <w:szCs w:val="26"/>
        </w:rPr>
        <w:t>ower</w:t>
      </w:r>
      <w:r w:rsidR="00F60FE5" w:rsidRPr="00EB3F80">
        <w:rPr>
          <w:sz w:val="26"/>
          <w:szCs w:val="26"/>
        </w:rPr>
        <w:t xml:space="preserve"> acknowledge</w:t>
      </w:r>
      <w:r w:rsidR="00246BF5" w:rsidRPr="00EB3F80">
        <w:rPr>
          <w:sz w:val="26"/>
          <w:szCs w:val="26"/>
        </w:rPr>
        <w:t>d</w:t>
      </w:r>
      <w:r w:rsidR="00F60FE5" w:rsidRPr="00EB3F80">
        <w:rPr>
          <w:sz w:val="26"/>
          <w:szCs w:val="26"/>
        </w:rPr>
        <w:t xml:space="preserve"> that the expansion and improvement of Table 3</w:t>
      </w:r>
      <w:r w:rsidR="003922E7">
        <w:rPr>
          <w:sz w:val="26"/>
          <w:szCs w:val="26"/>
        </w:rPr>
        <w:t>.</w:t>
      </w:r>
      <w:r w:rsidR="00F60FE5" w:rsidRPr="00EB3F80">
        <w:rPr>
          <w:sz w:val="26"/>
          <w:szCs w:val="26"/>
        </w:rPr>
        <w:t>2 is a good idea, but need</w:t>
      </w:r>
      <w:r w:rsidR="00A83D10" w:rsidRPr="00EB3F80">
        <w:rPr>
          <w:sz w:val="26"/>
          <w:szCs w:val="26"/>
        </w:rPr>
        <w:t>ed</w:t>
      </w:r>
      <w:r w:rsidR="00F60FE5" w:rsidRPr="00EB3F80">
        <w:rPr>
          <w:sz w:val="26"/>
          <w:szCs w:val="26"/>
        </w:rPr>
        <w:t xml:space="preserve"> further review</w:t>
      </w:r>
      <w:r w:rsidR="003922E7">
        <w:rPr>
          <w:sz w:val="26"/>
          <w:szCs w:val="26"/>
        </w:rPr>
        <w:t xml:space="preserve"> by the TWG</w:t>
      </w:r>
      <w:r w:rsidR="00F60FE5" w:rsidRPr="00EB3F80">
        <w:rPr>
          <w:sz w:val="26"/>
          <w:szCs w:val="26"/>
        </w:rPr>
        <w:t>.  A</w:t>
      </w:r>
      <w:r w:rsidR="00A83D10" w:rsidRPr="00EB3F80">
        <w:rPr>
          <w:sz w:val="26"/>
          <w:szCs w:val="26"/>
        </w:rPr>
        <w:t xml:space="preserve">llegheny </w:t>
      </w:r>
      <w:r w:rsidR="00F60FE5" w:rsidRPr="00EB3F80">
        <w:rPr>
          <w:sz w:val="26"/>
          <w:szCs w:val="26"/>
        </w:rPr>
        <w:t>P</w:t>
      </w:r>
      <w:r w:rsidR="00A83D10" w:rsidRPr="00EB3F80">
        <w:rPr>
          <w:sz w:val="26"/>
          <w:szCs w:val="26"/>
        </w:rPr>
        <w:t>ower</w:t>
      </w:r>
      <w:r w:rsidR="00F60FE5" w:rsidRPr="00EB3F80">
        <w:rPr>
          <w:sz w:val="26"/>
          <w:szCs w:val="26"/>
        </w:rPr>
        <w:t xml:space="preserve"> suggest</w:t>
      </w:r>
      <w:r w:rsidR="00A83D10" w:rsidRPr="00EB3F80">
        <w:rPr>
          <w:sz w:val="26"/>
          <w:szCs w:val="26"/>
        </w:rPr>
        <w:t>ed</w:t>
      </w:r>
      <w:r w:rsidR="00F60FE5" w:rsidRPr="00EB3F80">
        <w:rPr>
          <w:sz w:val="26"/>
          <w:szCs w:val="26"/>
        </w:rPr>
        <w:t xml:space="preserve"> that </w:t>
      </w:r>
      <w:r w:rsidR="00A83D10" w:rsidRPr="00EB3F80">
        <w:rPr>
          <w:sz w:val="26"/>
          <w:szCs w:val="26"/>
        </w:rPr>
        <w:t xml:space="preserve">a </w:t>
      </w:r>
      <w:r w:rsidR="00F60FE5" w:rsidRPr="00EB3F80">
        <w:rPr>
          <w:sz w:val="26"/>
          <w:szCs w:val="26"/>
        </w:rPr>
        <w:t>TWG review would ensure justification of the changes</w:t>
      </w:r>
      <w:r w:rsidR="00A83D10" w:rsidRPr="00EB3F80">
        <w:rPr>
          <w:sz w:val="26"/>
          <w:szCs w:val="26"/>
        </w:rPr>
        <w:t>,</w:t>
      </w:r>
      <w:r w:rsidR="00F60FE5" w:rsidRPr="00EB3F80">
        <w:rPr>
          <w:sz w:val="26"/>
          <w:szCs w:val="26"/>
        </w:rPr>
        <w:t xml:space="preserve"> </w:t>
      </w:r>
      <w:r w:rsidR="00A83D10" w:rsidRPr="00EB3F80">
        <w:rPr>
          <w:sz w:val="26"/>
          <w:szCs w:val="26"/>
        </w:rPr>
        <w:t>as well as</w:t>
      </w:r>
      <w:r w:rsidR="00F60FE5" w:rsidRPr="00EB3F80">
        <w:rPr>
          <w:sz w:val="26"/>
          <w:szCs w:val="26"/>
        </w:rPr>
        <w:t xml:space="preserve"> the</w:t>
      </w:r>
      <w:r w:rsidR="003922E7">
        <w:rPr>
          <w:sz w:val="26"/>
          <w:szCs w:val="26"/>
        </w:rPr>
        <w:t>ir</w:t>
      </w:r>
      <w:r w:rsidR="00F60FE5" w:rsidRPr="00EB3F80">
        <w:rPr>
          <w:sz w:val="26"/>
          <w:szCs w:val="26"/>
        </w:rPr>
        <w:t xml:space="preserve"> applicability to Pennsylvania.</w:t>
      </w:r>
      <w:r w:rsidR="00BF52AB">
        <w:rPr>
          <w:sz w:val="26"/>
          <w:szCs w:val="26"/>
        </w:rPr>
        <w:t xml:space="preserve"> </w:t>
      </w:r>
      <w:r w:rsidR="00907C4E" w:rsidRPr="00EB3F80">
        <w:rPr>
          <w:sz w:val="26"/>
          <w:szCs w:val="26"/>
        </w:rPr>
        <w:t xml:space="preserve"> </w:t>
      </w:r>
      <w:proofErr w:type="gramStart"/>
      <w:r w:rsidR="00907C4E" w:rsidRPr="00EB3F80">
        <w:rPr>
          <w:sz w:val="26"/>
          <w:szCs w:val="26"/>
        </w:rPr>
        <w:t xml:space="preserve">(Allegheny Power </w:t>
      </w:r>
      <w:r w:rsidR="003922E7">
        <w:rPr>
          <w:sz w:val="26"/>
          <w:szCs w:val="26"/>
        </w:rPr>
        <w:t>C</w:t>
      </w:r>
      <w:r w:rsidR="00907C4E" w:rsidRPr="00EB3F80">
        <w:rPr>
          <w:sz w:val="26"/>
          <w:szCs w:val="26"/>
        </w:rPr>
        <w:t>omments at 7</w:t>
      </w:r>
      <w:r w:rsidR="003922E7">
        <w:rPr>
          <w:sz w:val="26"/>
          <w:szCs w:val="26"/>
        </w:rPr>
        <w:t>.</w:t>
      </w:r>
      <w:r w:rsidR="00907C4E" w:rsidRPr="00EB3F80">
        <w:rPr>
          <w:sz w:val="26"/>
          <w:szCs w:val="26"/>
        </w:rPr>
        <w:t>)</w:t>
      </w:r>
      <w:proofErr w:type="gramEnd"/>
      <w:r w:rsidR="00CC3969" w:rsidRPr="00EB3F80">
        <w:rPr>
          <w:sz w:val="26"/>
          <w:szCs w:val="26"/>
        </w:rPr>
        <w:t xml:space="preserve"> </w:t>
      </w:r>
      <w:r w:rsidR="00A83D10" w:rsidRPr="00EB3F80">
        <w:rPr>
          <w:sz w:val="26"/>
          <w:szCs w:val="26"/>
        </w:rPr>
        <w:t xml:space="preserve"> </w:t>
      </w:r>
    </w:p>
    <w:p w:rsidR="00E5602C" w:rsidRPr="00EB3F80" w:rsidRDefault="00E5602C" w:rsidP="00113789">
      <w:pPr>
        <w:pStyle w:val="p3"/>
        <w:tabs>
          <w:tab w:val="clear" w:pos="204"/>
          <w:tab w:val="left" w:pos="720"/>
        </w:tabs>
        <w:spacing w:line="360" w:lineRule="auto"/>
        <w:rPr>
          <w:sz w:val="26"/>
          <w:szCs w:val="26"/>
        </w:rPr>
      </w:pPr>
    </w:p>
    <w:p w:rsidR="00012DEF" w:rsidRDefault="00E5602C" w:rsidP="00113789">
      <w:pPr>
        <w:pStyle w:val="p3"/>
        <w:tabs>
          <w:tab w:val="clear" w:pos="204"/>
          <w:tab w:val="left" w:pos="720"/>
        </w:tabs>
        <w:spacing w:line="360" w:lineRule="auto"/>
        <w:rPr>
          <w:sz w:val="26"/>
          <w:szCs w:val="26"/>
        </w:rPr>
      </w:pPr>
      <w:r w:rsidRPr="00EB3F80">
        <w:rPr>
          <w:sz w:val="26"/>
          <w:szCs w:val="26"/>
        </w:rPr>
        <w:tab/>
      </w:r>
      <w:r w:rsidR="00AA15A4" w:rsidRPr="00EB3F80">
        <w:rPr>
          <w:sz w:val="26"/>
          <w:szCs w:val="26"/>
        </w:rPr>
        <w:t>D</w:t>
      </w:r>
      <w:r w:rsidR="00755D49" w:rsidRPr="00755D49">
        <w:rPr>
          <w:sz w:val="26"/>
          <w:szCs w:val="26"/>
        </w:rPr>
        <w:t xml:space="preserve">uquesne further suggested that if lighting hours are “known” to be different </w:t>
      </w:r>
      <w:r w:rsidR="003830DA" w:rsidRPr="00755D49">
        <w:rPr>
          <w:sz w:val="26"/>
          <w:szCs w:val="26"/>
        </w:rPr>
        <w:t>from</w:t>
      </w:r>
      <w:r w:rsidR="00755D49" w:rsidRPr="00755D49">
        <w:rPr>
          <w:sz w:val="26"/>
          <w:szCs w:val="26"/>
        </w:rPr>
        <w:t xml:space="preserve"> the stipulated values in Table 3.5, hours measured by usage group as shown in Table 3.2 should be allowed for projects less than 50 kW in addition to the currently accepted use of Table 3.2 for projects greater than 50 kW.</w:t>
      </w:r>
      <w:r w:rsidR="00BF52AB">
        <w:rPr>
          <w:sz w:val="26"/>
          <w:szCs w:val="26"/>
        </w:rPr>
        <w:t xml:space="preserve"> </w:t>
      </w:r>
      <w:r w:rsidR="00755D49" w:rsidRPr="00755D49">
        <w:rPr>
          <w:sz w:val="26"/>
          <w:szCs w:val="26"/>
        </w:rPr>
        <w:t xml:space="preserve"> </w:t>
      </w:r>
      <w:proofErr w:type="gramStart"/>
      <w:r w:rsidR="00755D49" w:rsidRPr="00755D49">
        <w:rPr>
          <w:sz w:val="26"/>
          <w:szCs w:val="26"/>
        </w:rPr>
        <w:t xml:space="preserve">(Duquesne </w:t>
      </w:r>
      <w:r w:rsidR="003922E7">
        <w:rPr>
          <w:sz w:val="26"/>
          <w:szCs w:val="26"/>
        </w:rPr>
        <w:t>C</w:t>
      </w:r>
      <w:r w:rsidR="00755D49" w:rsidRPr="00755D49">
        <w:rPr>
          <w:sz w:val="26"/>
          <w:szCs w:val="26"/>
        </w:rPr>
        <w:t>omments at 6</w:t>
      </w:r>
      <w:r w:rsidR="003922E7">
        <w:rPr>
          <w:sz w:val="26"/>
          <w:szCs w:val="26"/>
        </w:rPr>
        <w:t>.</w:t>
      </w:r>
      <w:r w:rsidR="00755D49" w:rsidRPr="00755D49">
        <w:rPr>
          <w:sz w:val="26"/>
          <w:szCs w:val="26"/>
        </w:rPr>
        <w:t>)</w:t>
      </w:r>
      <w:proofErr w:type="gramEnd"/>
      <w:r w:rsidR="00755D49" w:rsidRPr="00755D49">
        <w:rPr>
          <w:sz w:val="26"/>
          <w:szCs w:val="26"/>
        </w:rPr>
        <w:t xml:space="preserve">  </w:t>
      </w:r>
    </w:p>
    <w:p w:rsidR="00012DEF" w:rsidRDefault="00012DEF" w:rsidP="00113789">
      <w:pPr>
        <w:pStyle w:val="p3"/>
        <w:tabs>
          <w:tab w:val="clear" w:pos="204"/>
          <w:tab w:val="left" w:pos="720"/>
        </w:tabs>
        <w:spacing w:line="360" w:lineRule="auto"/>
        <w:rPr>
          <w:sz w:val="26"/>
          <w:szCs w:val="26"/>
        </w:rPr>
      </w:pPr>
    </w:p>
    <w:p w:rsidR="000535F7" w:rsidRPr="00EB3F80" w:rsidRDefault="00755D49" w:rsidP="00012DEF">
      <w:pPr>
        <w:pStyle w:val="p3"/>
        <w:tabs>
          <w:tab w:val="clear" w:pos="204"/>
          <w:tab w:val="left" w:pos="720"/>
        </w:tabs>
        <w:spacing w:line="360" w:lineRule="auto"/>
        <w:ind w:firstLine="720"/>
        <w:rPr>
          <w:sz w:val="26"/>
          <w:szCs w:val="26"/>
        </w:rPr>
      </w:pPr>
      <w:r w:rsidRPr="00755D49">
        <w:rPr>
          <w:sz w:val="26"/>
          <w:szCs w:val="26"/>
        </w:rPr>
        <w:t xml:space="preserve">PECO suggested that methods requiring quantification of hours of use for projects over 50 kW in savings should not apply to </w:t>
      </w:r>
      <w:r w:rsidRPr="00755D49">
        <w:rPr>
          <w:i/>
          <w:sz w:val="26"/>
          <w:szCs w:val="26"/>
        </w:rPr>
        <w:t>ex ante</w:t>
      </w:r>
      <w:r w:rsidR="002753FB" w:rsidRPr="00EB3F80">
        <w:rPr>
          <w:sz w:val="26"/>
          <w:szCs w:val="26"/>
        </w:rPr>
        <w:t xml:space="preserve"> estimates of saving</w:t>
      </w:r>
      <w:r w:rsidR="00A22B7C" w:rsidRPr="00EB3F80">
        <w:rPr>
          <w:sz w:val="26"/>
          <w:szCs w:val="26"/>
        </w:rPr>
        <w:t>s</w:t>
      </w:r>
      <w:r w:rsidR="002753FB" w:rsidRPr="00EB3F80">
        <w:rPr>
          <w:sz w:val="26"/>
          <w:szCs w:val="26"/>
        </w:rPr>
        <w:t xml:space="preserve"> but should only apply to the sample used to verify savings.</w:t>
      </w:r>
      <w:r w:rsidR="00E5602C" w:rsidRPr="00EB3F80">
        <w:rPr>
          <w:rStyle w:val="FootnoteReference"/>
          <w:sz w:val="26"/>
          <w:szCs w:val="26"/>
        </w:rPr>
        <w:footnoteReference w:id="17"/>
      </w:r>
      <w:r w:rsidR="00E5602C" w:rsidRPr="00EB3F80">
        <w:rPr>
          <w:sz w:val="26"/>
          <w:szCs w:val="26"/>
        </w:rPr>
        <w:t xml:space="preserve"> </w:t>
      </w:r>
      <w:r w:rsidR="00012DEF">
        <w:rPr>
          <w:sz w:val="26"/>
          <w:szCs w:val="26"/>
        </w:rPr>
        <w:t xml:space="preserve"> </w:t>
      </w:r>
      <w:r w:rsidR="00E5602C" w:rsidRPr="00EB3F80">
        <w:rPr>
          <w:sz w:val="26"/>
          <w:szCs w:val="26"/>
        </w:rPr>
        <w:t xml:space="preserve">(PECO </w:t>
      </w:r>
      <w:r w:rsidR="00012DEF">
        <w:rPr>
          <w:sz w:val="26"/>
          <w:szCs w:val="26"/>
        </w:rPr>
        <w:t>C</w:t>
      </w:r>
      <w:r w:rsidR="00E5602C" w:rsidRPr="00EB3F80">
        <w:rPr>
          <w:sz w:val="26"/>
          <w:szCs w:val="26"/>
        </w:rPr>
        <w:t>omments at Appendix page 7</w:t>
      </w:r>
      <w:r w:rsidR="00012DEF">
        <w:rPr>
          <w:sz w:val="26"/>
          <w:szCs w:val="26"/>
        </w:rPr>
        <w:t>.</w:t>
      </w:r>
      <w:r w:rsidR="00E5602C" w:rsidRPr="00EB3F80">
        <w:rPr>
          <w:sz w:val="26"/>
          <w:szCs w:val="26"/>
        </w:rPr>
        <w:t>)</w:t>
      </w:r>
      <w:r w:rsidR="00012DEF">
        <w:rPr>
          <w:sz w:val="26"/>
          <w:szCs w:val="26"/>
        </w:rPr>
        <w:t xml:space="preserve">  </w:t>
      </w:r>
      <w:r w:rsidR="000535F7" w:rsidRPr="00EB3F80">
        <w:rPr>
          <w:sz w:val="26"/>
          <w:szCs w:val="26"/>
        </w:rPr>
        <w:t xml:space="preserve">PECO also noted that baseline wattages specified for exit signs may be </w:t>
      </w:r>
      <w:r w:rsidR="00673771" w:rsidRPr="00EB3F80">
        <w:rPr>
          <w:sz w:val="26"/>
          <w:szCs w:val="26"/>
        </w:rPr>
        <w:t>in</w:t>
      </w:r>
      <w:r w:rsidR="000C7B2E" w:rsidRPr="00EB3F80">
        <w:rPr>
          <w:sz w:val="26"/>
          <w:szCs w:val="26"/>
        </w:rPr>
        <w:t>appropriate</w:t>
      </w:r>
      <w:r w:rsidR="000535F7" w:rsidRPr="00EB3F80">
        <w:rPr>
          <w:sz w:val="26"/>
          <w:szCs w:val="26"/>
        </w:rPr>
        <w:t>.</w:t>
      </w:r>
      <w:r w:rsidR="00AF6A51" w:rsidRPr="00EB3F80">
        <w:rPr>
          <w:sz w:val="26"/>
          <w:szCs w:val="26"/>
        </w:rPr>
        <w:t xml:space="preserve"> </w:t>
      </w:r>
      <w:r w:rsidR="00A83D10" w:rsidRPr="00EB3F80">
        <w:rPr>
          <w:sz w:val="26"/>
          <w:szCs w:val="26"/>
        </w:rPr>
        <w:t xml:space="preserve"> </w:t>
      </w:r>
      <w:r w:rsidR="00012DEF">
        <w:rPr>
          <w:sz w:val="26"/>
          <w:szCs w:val="26"/>
        </w:rPr>
        <w:t>Noting that s</w:t>
      </w:r>
      <w:r w:rsidR="00715EE2" w:rsidRPr="00EB3F80">
        <w:rPr>
          <w:sz w:val="26"/>
          <w:szCs w:val="26"/>
        </w:rPr>
        <w:t xml:space="preserve">ome </w:t>
      </w:r>
      <w:r w:rsidR="00AF6A51" w:rsidRPr="00EB3F80">
        <w:rPr>
          <w:sz w:val="26"/>
          <w:szCs w:val="26"/>
        </w:rPr>
        <w:t xml:space="preserve">exit signs are double sided and have two incandescent lamps </w:t>
      </w:r>
      <w:r w:rsidR="000C7B2E" w:rsidRPr="00EB3F80">
        <w:rPr>
          <w:sz w:val="26"/>
          <w:szCs w:val="26"/>
        </w:rPr>
        <w:t>as specified in the TRM</w:t>
      </w:r>
      <w:r w:rsidR="00715EE2" w:rsidRPr="00EB3F80">
        <w:rPr>
          <w:sz w:val="26"/>
          <w:szCs w:val="26"/>
        </w:rPr>
        <w:t>,</w:t>
      </w:r>
      <w:r w:rsidR="000C7B2E" w:rsidRPr="00EB3F80">
        <w:rPr>
          <w:sz w:val="26"/>
          <w:szCs w:val="26"/>
        </w:rPr>
        <w:t xml:space="preserve"> </w:t>
      </w:r>
      <w:r w:rsidR="00AF6A51" w:rsidRPr="00EB3F80">
        <w:rPr>
          <w:sz w:val="26"/>
          <w:szCs w:val="26"/>
        </w:rPr>
        <w:t xml:space="preserve">but many have only one lamp of 20 watts. </w:t>
      </w:r>
      <w:r w:rsidR="00A83D10" w:rsidRPr="00EB3F80">
        <w:rPr>
          <w:sz w:val="26"/>
          <w:szCs w:val="26"/>
        </w:rPr>
        <w:t xml:space="preserve"> </w:t>
      </w:r>
      <w:r w:rsidR="00AF6A51" w:rsidRPr="00EB3F80">
        <w:rPr>
          <w:sz w:val="26"/>
          <w:szCs w:val="26"/>
        </w:rPr>
        <w:t>The assumption of two lamps at a total of 40 watts as the baseline would</w:t>
      </w:r>
      <w:r w:rsidR="006457D1" w:rsidRPr="00EB3F80">
        <w:rPr>
          <w:sz w:val="26"/>
          <w:szCs w:val="26"/>
        </w:rPr>
        <w:t xml:space="preserve"> overstate the savings </w:t>
      </w:r>
      <w:r w:rsidR="00673771" w:rsidRPr="00EB3F80">
        <w:rPr>
          <w:sz w:val="26"/>
          <w:szCs w:val="26"/>
        </w:rPr>
        <w:t>as currently specified</w:t>
      </w:r>
      <w:r w:rsidR="00AF6A51" w:rsidRPr="00EB3F80">
        <w:rPr>
          <w:sz w:val="26"/>
          <w:szCs w:val="26"/>
        </w:rPr>
        <w:t xml:space="preserve">. </w:t>
      </w:r>
      <w:r w:rsidR="00A83D10" w:rsidRPr="00EB3F80">
        <w:rPr>
          <w:sz w:val="26"/>
          <w:szCs w:val="26"/>
        </w:rPr>
        <w:t xml:space="preserve"> </w:t>
      </w:r>
      <w:r w:rsidR="00AF6A51" w:rsidRPr="00EB3F80">
        <w:rPr>
          <w:sz w:val="26"/>
          <w:szCs w:val="26"/>
        </w:rPr>
        <w:t xml:space="preserve">In addition, the estimation of the distribution of incandescent and </w:t>
      </w:r>
      <w:r w:rsidR="00A22B7C" w:rsidRPr="00EB3F80">
        <w:rPr>
          <w:sz w:val="26"/>
          <w:szCs w:val="26"/>
        </w:rPr>
        <w:t>fluorescent</w:t>
      </w:r>
      <w:r w:rsidR="00AF6A51" w:rsidRPr="00EB3F80">
        <w:rPr>
          <w:sz w:val="26"/>
          <w:szCs w:val="26"/>
        </w:rPr>
        <w:t xml:space="preserve"> lamps in baseline fixtures is not based on recent Pennsylvania data. </w:t>
      </w:r>
      <w:r w:rsidR="00A83D10" w:rsidRPr="00EB3F80">
        <w:rPr>
          <w:sz w:val="26"/>
          <w:szCs w:val="26"/>
        </w:rPr>
        <w:t xml:space="preserve"> </w:t>
      </w:r>
      <w:r w:rsidR="00AF6A51" w:rsidRPr="00EB3F80">
        <w:rPr>
          <w:sz w:val="26"/>
          <w:szCs w:val="26"/>
        </w:rPr>
        <w:t>PECO suggest</w:t>
      </w:r>
      <w:r w:rsidR="00A83D10" w:rsidRPr="00EB3F80">
        <w:rPr>
          <w:sz w:val="26"/>
          <w:szCs w:val="26"/>
        </w:rPr>
        <w:t>ed</w:t>
      </w:r>
      <w:r w:rsidR="00AF6A51" w:rsidRPr="00EB3F80">
        <w:rPr>
          <w:sz w:val="26"/>
          <w:szCs w:val="26"/>
        </w:rPr>
        <w:t xml:space="preserve"> that actual baseline data may be more appropriate and the TRM values should only </w:t>
      </w:r>
      <w:r w:rsidR="00012DEF">
        <w:rPr>
          <w:sz w:val="26"/>
          <w:szCs w:val="26"/>
        </w:rPr>
        <w:t xml:space="preserve">be </w:t>
      </w:r>
      <w:r w:rsidR="00AF6A51" w:rsidRPr="00EB3F80">
        <w:rPr>
          <w:sz w:val="26"/>
          <w:szCs w:val="26"/>
        </w:rPr>
        <w:t xml:space="preserve">used </w:t>
      </w:r>
      <w:r w:rsidR="00F00DE2">
        <w:rPr>
          <w:sz w:val="26"/>
          <w:szCs w:val="26"/>
        </w:rPr>
        <w:t>as the</w:t>
      </w:r>
      <w:r w:rsidR="00F00DE2" w:rsidRPr="00EB3F80">
        <w:rPr>
          <w:sz w:val="26"/>
          <w:szCs w:val="26"/>
        </w:rPr>
        <w:t xml:space="preserve"> </w:t>
      </w:r>
      <w:r w:rsidR="00AF6A51" w:rsidRPr="00EB3F80">
        <w:rPr>
          <w:sz w:val="26"/>
          <w:szCs w:val="26"/>
        </w:rPr>
        <w:t>default when more project</w:t>
      </w:r>
      <w:r w:rsidR="00715EE2" w:rsidRPr="00EB3F80">
        <w:rPr>
          <w:sz w:val="26"/>
          <w:szCs w:val="26"/>
        </w:rPr>
        <w:t>-</w:t>
      </w:r>
      <w:r w:rsidR="00AF6A51" w:rsidRPr="00EB3F80">
        <w:rPr>
          <w:sz w:val="26"/>
          <w:szCs w:val="26"/>
        </w:rPr>
        <w:t>specific data is not available.</w:t>
      </w:r>
      <w:r w:rsidR="00715EE2" w:rsidRPr="00EB3F80">
        <w:rPr>
          <w:sz w:val="26"/>
          <w:szCs w:val="26"/>
        </w:rPr>
        <w:t xml:space="preserve"> </w:t>
      </w:r>
      <w:r w:rsidR="00012DEF">
        <w:rPr>
          <w:sz w:val="26"/>
          <w:szCs w:val="26"/>
        </w:rPr>
        <w:t xml:space="preserve"> </w:t>
      </w:r>
      <w:proofErr w:type="gramStart"/>
      <w:r w:rsidR="00715EE2" w:rsidRPr="00EB3F80">
        <w:rPr>
          <w:sz w:val="26"/>
          <w:szCs w:val="26"/>
        </w:rPr>
        <w:t xml:space="preserve">(PECO </w:t>
      </w:r>
      <w:r w:rsidR="00012DEF">
        <w:rPr>
          <w:sz w:val="26"/>
          <w:szCs w:val="26"/>
        </w:rPr>
        <w:t>C</w:t>
      </w:r>
      <w:r w:rsidR="00715EE2" w:rsidRPr="00EB3F80">
        <w:rPr>
          <w:sz w:val="26"/>
          <w:szCs w:val="26"/>
        </w:rPr>
        <w:t>ommen</w:t>
      </w:r>
      <w:r w:rsidRPr="00755D49">
        <w:rPr>
          <w:sz w:val="26"/>
          <w:szCs w:val="26"/>
        </w:rPr>
        <w:t xml:space="preserve">ts Appendix </w:t>
      </w:r>
      <w:r w:rsidR="00012DEF" w:rsidRPr="00755D49">
        <w:rPr>
          <w:sz w:val="26"/>
          <w:szCs w:val="26"/>
        </w:rPr>
        <w:t>at</w:t>
      </w:r>
      <w:r w:rsidRPr="00755D49">
        <w:rPr>
          <w:sz w:val="26"/>
          <w:szCs w:val="26"/>
        </w:rPr>
        <w:t xml:space="preserve"> 7</w:t>
      </w:r>
      <w:r w:rsidR="00012DEF">
        <w:rPr>
          <w:sz w:val="26"/>
          <w:szCs w:val="26"/>
        </w:rPr>
        <w:t>.</w:t>
      </w:r>
      <w:r w:rsidRPr="00755D49">
        <w:rPr>
          <w:sz w:val="26"/>
          <w:szCs w:val="26"/>
        </w:rPr>
        <w:t>)</w:t>
      </w:r>
      <w:proofErr w:type="gramEnd"/>
    </w:p>
    <w:p w:rsidR="00113789" w:rsidRPr="00EB3F80" w:rsidRDefault="00113789" w:rsidP="00113789">
      <w:pPr>
        <w:pStyle w:val="p3"/>
        <w:tabs>
          <w:tab w:val="clear" w:pos="204"/>
          <w:tab w:val="left" w:pos="720"/>
        </w:tabs>
        <w:spacing w:line="360" w:lineRule="auto"/>
        <w:rPr>
          <w:sz w:val="26"/>
          <w:szCs w:val="26"/>
        </w:rPr>
      </w:pPr>
    </w:p>
    <w:p w:rsidR="00113789" w:rsidRPr="00EB3F80" w:rsidRDefault="00755D49" w:rsidP="00113789">
      <w:pPr>
        <w:pStyle w:val="p3"/>
        <w:tabs>
          <w:tab w:val="clear" w:pos="204"/>
          <w:tab w:val="left" w:pos="720"/>
        </w:tabs>
        <w:spacing w:line="360" w:lineRule="auto"/>
        <w:rPr>
          <w:sz w:val="26"/>
          <w:szCs w:val="26"/>
        </w:rPr>
      </w:pPr>
      <w:r w:rsidRPr="00755D49">
        <w:rPr>
          <w:sz w:val="26"/>
          <w:szCs w:val="26"/>
        </w:rPr>
        <w:tab/>
        <w:t xml:space="preserve">Many of the </w:t>
      </w:r>
      <w:r w:rsidR="008B2E0F">
        <w:rPr>
          <w:sz w:val="26"/>
          <w:szCs w:val="26"/>
        </w:rPr>
        <w:t>Commenters</w:t>
      </w:r>
      <w:r w:rsidRPr="00755D49">
        <w:rPr>
          <w:sz w:val="26"/>
          <w:szCs w:val="26"/>
        </w:rPr>
        <w:t xml:space="preserve"> also provided editorial assistance and suggestions that may be considered going forward.  This included noting inconsistencies between Appendix C and the TRM, noting inaccurate references, suggesting more supporting </w:t>
      </w:r>
      <w:r w:rsidRPr="00755D49">
        <w:rPr>
          <w:sz w:val="26"/>
          <w:szCs w:val="26"/>
        </w:rPr>
        <w:lastRenderedPageBreak/>
        <w:t>documentation and references be provided and suggesting modifications to Appendix C.</w:t>
      </w:r>
    </w:p>
    <w:p w:rsidR="00D401F3" w:rsidRPr="00EB3F80" w:rsidRDefault="00D401F3" w:rsidP="00113789">
      <w:pPr>
        <w:pStyle w:val="p3"/>
        <w:tabs>
          <w:tab w:val="clear" w:pos="204"/>
          <w:tab w:val="left" w:pos="720"/>
        </w:tabs>
        <w:spacing w:line="360" w:lineRule="auto"/>
        <w:rPr>
          <w:sz w:val="26"/>
          <w:szCs w:val="26"/>
        </w:rPr>
      </w:pPr>
    </w:p>
    <w:p w:rsidR="00113789" w:rsidRPr="00EB3F80" w:rsidRDefault="00755D49" w:rsidP="0052550D">
      <w:pPr>
        <w:pStyle w:val="p3"/>
        <w:numPr>
          <w:ilvl w:val="1"/>
          <w:numId w:val="7"/>
        </w:numPr>
        <w:tabs>
          <w:tab w:val="clear" w:pos="204"/>
          <w:tab w:val="left" w:pos="720"/>
        </w:tabs>
        <w:spacing w:line="360" w:lineRule="auto"/>
        <w:ind w:left="2160" w:hanging="720"/>
        <w:rPr>
          <w:sz w:val="26"/>
          <w:szCs w:val="26"/>
        </w:rPr>
      </w:pPr>
      <w:r w:rsidRPr="00755D49">
        <w:rPr>
          <w:b/>
          <w:sz w:val="26"/>
          <w:szCs w:val="26"/>
        </w:rPr>
        <w:t>Disposition</w:t>
      </w:r>
    </w:p>
    <w:p w:rsidR="00EF68E7" w:rsidRPr="00EB3F80" w:rsidRDefault="00EF68E7" w:rsidP="00113789">
      <w:pPr>
        <w:pStyle w:val="p3"/>
        <w:tabs>
          <w:tab w:val="clear" w:pos="204"/>
          <w:tab w:val="left" w:pos="720"/>
        </w:tabs>
        <w:spacing w:line="360" w:lineRule="auto"/>
        <w:rPr>
          <w:sz w:val="26"/>
          <w:szCs w:val="26"/>
        </w:rPr>
      </w:pPr>
    </w:p>
    <w:p w:rsidR="00113789" w:rsidRPr="00EB3F80" w:rsidRDefault="00755D49" w:rsidP="00113789">
      <w:pPr>
        <w:pStyle w:val="p3"/>
        <w:tabs>
          <w:tab w:val="clear" w:pos="204"/>
          <w:tab w:val="left" w:pos="720"/>
        </w:tabs>
        <w:spacing w:line="360" w:lineRule="auto"/>
        <w:rPr>
          <w:sz w:val="26"/>
          <w:szCs w:val="26"/>
        </w:rPr>
      </w:pPr>
      <w:r w:rsidRPr="00755D49">
        <w:rPr>
          <w:sz w:val="26"/>
          <w:szCs w:val="26"/>
        </w:rPr>
        <w:tab/>
        <w:t>The Commission carefully reviewed the comments provided and made changes to address those comments where a simple resolution was possible.  The changes that were implemented included, but are not limited to, the following:</w:t>
      </w:r>
    </w:p>
    <w:p w:rsidR="00D56D08" w:rsidRPr="00EB3F80" w:rsidRDefault="00755D49" w:rsidP="009715E0">
      <w:pPr>
        <w:pStyle w:val="p3"/>
        <w:numPr>
          <w:ilvl w:val="0"/>
          <w:numId w:val="14"/>
        </w:numPr>
        <w:tabs>
          <w:tab w:val="clear" w:pos="204"/>
          <w:tab w:val="left" w:pos="720"/>
        </w:tabs>
        <w:spacing w:before="100" w:beforeAutospacing="1"/>
        <w:rPr>
          <w:sz w:val="26"/>
          <w:szCs w:val="26"/>
        </w:rPr>
      </w:pPr>
      <w:r w:rsidRPr="00755D49">
        <w:rPr>
          <w:sz w:val="26"/>
          <w:szCs w:val="26"/>
        </w:rPr>
        <w:t>Modification of table references and headings for consistency</w:t>
      </w:r>
      <w:r w:rsidR="008B2E0F">
        <w:rPr>
          <w:sz w:val="26"/>
          <w:szCs w:val="26"/>
        </w:rPr>
        <w:t>.</w:t>
      </w:r>
    </w:p>
    <w:p w:rsidR="00D56D08" w:rsidRPr="00EB3F80" w:rsidRDefault="00755D49" w:rsidP="0052550D">
      <w:pPr>
        <w:pStyle w:val="p3"/>
        <w:numPr>
          <w:ilvl w:val="0"/>
          <w:numId w:val="14"/>
        </w:numPr>
        <w:tabs>
          <w:tab w:val="clear" w:pos="204"/>
          <w:tab w:val="left" w:pos="720"/>
        </w:tabs>
        <w:rPr>
          <w:sz w:val="26"/>
          <w:szCs w:val="26"/>
        </w:rPr>
      </w:pPr>
      <w:r w:rsidRPr="00755D49">
        <w:rPr>
          <w:sz w:val="26"/>
          <w:szCs w:val="26"/>
        </w:rPr>
        <w:t>Changes to Appendix C to address the following:</w:t>
      </w:r>
    </w:p>
    <w:p w:rsidR="00D00180" w:rsidRPr="00EB3F80" w:rsidRDefault="00755D49" w:rsidP="0052550D">
      <w:pPr>
        <w:pStyle w:val="p3"/>
        <w:numPr>
          <w:ilvl w:val="0"/>
          <w:numId w:val="8"/>
        </w:numPr>
        <w:tabs>
          <w:tab w:val="clear" w:pos="204"/>
          <w:tab w:val="left" w:pos="720"/>
        </w:tabs>
        <w:rPr>
          <w:sz w:val="26"/>
          <w:szCs w:val="26"/>
        </w:rPr>
      </w:pPr>
      <w:r w:rsidRPr="00755D49">
        <w:rPr>
          <w:sz w:val="26"/>
          <w:szCs w:val="26"/>
        </w:rPr>
        <w:t>The use of cut sheets in lieu of wattage table values when the difference is greater than 10%</w:t>
      </w:r>
    </w:p>
    <w:p w:rsidR="00D00180" w:rsidRPr="00EB3F80" w:rsidRDefault="00755D49" w:rsidP="0052550D">
      <w:pPr>
        <w:pStyle w:val="p3"/>
        <w:numPr>
          <w:ilvl w:val="0"/>
          <w:numId w:val="8"/>
        </w:numPr>
        <w:tabs>
          <w:tab w:val="clear" w:pos="204"/>
          <w:tab w:val="left" w:pos="720"/>
        </w:tabs>
        <w:rPr>
          <w:sz w:val="26"/>
          <w:szCs w:val="26"/>
        </w:rPr>
      </w:pPr>
      <w:r w:rsidRPr="00755D49">
        <w:rPr>
          <w:sz w:val="26"/>
          <w:szCs w:val="26"/>
        </w:rPr>
        <w:t>The conformity of Appendix C values to TRM Table 3.2 values</w:t>
      </w:r>
    </w:p>
    <w:p w:rsidR="00D00180" w:rsidRPr="00EB3F80" w:rsidRDefault="00755D49" w:rsidP="0052550D">
      <w:pPr>
        <w:pStyle w:val="p3"/>
        <w:numPr>
          <w:ilvl w:val="0"/>
          <w:numId w:val="8"/>
        </w:numPr>
        <w:tabs>
          <w:tab w:val="clear" w:pos="204"/>
          <w:tab w:val="left" w:pos="720"/>
        </w:tabs>
        <w:rPr>
          <w:sz w:val="26"/>
          <w:szCs w:val="26"/>
        </w:rPr>
      </w:pPr>
      <w:r w:rsidRPr="00755D49">
        <w:rPr>
          <w:sz w:val="26"/>
          <w:szCs w:val="26"/>
        </w:rPr>
        <w:t xml:space="preserve">The consistency of definitions </w:t>
      </w:r>
    </w:p>
    <w:p w:rsidR="00AD0DD4" w:rsidRPr="00EB3F80" w:rsidRDefault="00AD0DD4" w:rsidP="000E4483">
      <w:pPr>
        <w:pStyle w:val="p3"/>
        <w:tabs>
          <w:tab w:val="clear" w:pos="204"/>
          <w:tab w:val="left" w:pos="720"/>
        </w:tabs>
        <w:spacing w:line="360" w:lineRule="auto"/>
        <w:rPr>
          <w:sz w:val="26"/>
          <w:szCs w:val="26"/>
        </w:rPr>
      </w:pPr>
    </w:p>
    <w:p w:rsidR="007622AE" w:rsidRPr="00EB3F80" w:rsidRDefault="00755D49" w:rsidP="000E4483">
      <w:pPr>
        <w:pStyle w:val="p3"/>
        <w:tabs>
          <w:tab w:val="clear" w:pos="204"/>
          <w:tab w:val="left" w:pos="720"/>
        </w:tabs>
        <w:spacing w:line="360" w:lineRule="auto"/>
        <w:rPr>
          <w:sz w:val="26"/>
          <w:szCs w:val="26"/>
        </w:rPr>
      </w:pPr>
      <w:r w:rsidRPr="00755D49">
        <w:rPr>
          <w:sz w:val="26"/>
          <w:szCs w:val="26"/>
        </w:rPr>
        <w:tab/>
        <w:t xml:space="preserve">The Commission rejects the suggestion by PPL </w:t>
      </w:r>
      <w:r w:rsidR="009715E0">
        <w:rPr>
          <w:sz w:val="26"/>
          <w:szCs w:val="26"/>
        </w:rPr>
        <w:t>to combine</w:t>
      </w:r>
      <w:r w:rsidRPr="00755D49">
        <w:rPr>
          <w:sz w:val="26"/>
          <w:szCs w:val="26"/>
        </w:rPr>
        <w:t xml:space="preserve"> Tables 3.2 and Tables 3.5.  The structure of the TRM defines a whole building approach to quantifying hours of use in Table 3.5 for lighting projects less than 50 kW.  Retaining this more simplified approach is desirable.  For projects over 50 kW, the more complex “usage group method” for which Table 3.2 is </w:t>
      </w:r>
      <w:r w:rsidR="009715E0">
        <w:rPr>
          <w:sz w:val="26"/>
          <w:szCs w:val="26"/>
        </w:rPr>
        <w:t>designed</w:t>
      </w:r>
      <w:r w:rsidRPr="00755D49">
        <w:rPr>
          <w:sz w:val="26"/>
          <w:szCs w:val="26"/>
        </w:rPr>
        <w:t xml:space="preserve"> is both more accurate and justified. </w:t>
      </w:r>
    </w:p>
    <w:p w:rsidR="006577E7" w:rsidRPr="00EB3F80" w:rsidRDefault="006577E7" w:rsidP="000E4483">
      <w:pPr>
        <w:pStyle w:val="p3"/>
        <w:tabs>
          <w:tab w:val="clear" w:pos="204"/>
          <w:tab w:val="left" w:pos="720"/>
        </w:tabs>
        <w:spacing w:line="360" w:lineRule="auto"/>
        <w:rPr>
          <w:sz w:val="26"/>
          <w:szCs w:val="26"/>
        </w:rPr>
      </w:pPr>
    </w:p>
    <w:p w:rsidR="006577E7" w:rsidRPr="00EB3F80" w:rsidRDefault="00EF68E7" w:rsidP="000E4483">
      <w:pPr>
        <w:pStyle w:val="p3"/>
        <w:tabs>
          <w:tab w:val="clear" w:pos="204"/>
          <w:tab w:val="left" w:pos="720"/>
        </w:tabs>
        <w:spacing w:line="360" w:lineRule="auto"/>
        <w:rPr>
          <w:sz w:val="26"/>
          <w:szCs w:val="26"/>
        </w:rPr>
      </w:pPr>
      <w:r w:rsidRPr="00EB3F80">
        <w:rPr>
          <w:sz w:val="26"/>
          <w:szCs w:val="26"/>
        </w:rPr>
        <w:tab/>
      </w:r>
      <w:r w:rsidR="006577E7" w:rsidRPr="00EB3F80">
        <w:rPr>
          <w:sz w:val="26"/>
          <w:szCs w:val="26"/>
        </w:rPr>
        <w:t xml:space="preserve">The </w:t>
      </w:r>
      <w:r w:rsidR="00C45032" w:rsidRPr="00EB3F80">
        <w:rPr>
          <w:sz w:val="26"/>
          <w:szCs w:val="26"/>
        </w:rPr>
        <w:t xml:space="preserve">Commission also rejects the </w:t>
      </w:r>
      <w:r w:rsidR="006577E7" w:rsidRPr="00EB3F80">
        <w:rPr>
          <w:sz w:val="26"/>
          <w:szCs w:val="26"/>
        </w:rPr>
        <w:t xml:space="preserve">recommendation by PECO that the TRM lighting protocols for projects over 50 kW be </w:t>
      </w:r>
      <w:r w:rsidR="009715E0">
        <w:rPr>
          <w:sz w:val="26"/>
          <w:szCs w:val="26"/>
        </w:rPr>
        <w:t>used</w:t>
      </w:r>
      <w:r w:rsidR="006577E7" w:rsidRPr="00EB3F80">
        <w:rPr>
          <w:sz w:val="26"/>
          <w:szCs w:val="26"/>
        </w:rPr>
        <w:t xml:space="preserve"> only for </w:t>
      </w:r>
      <w:r w:rsidR="00755D49" w:rsidRPr="00755D49">
        <w:rPr>
          <w:i/>
          <w:sz w:val="26"/>
          <w:szCs w:val="26"/>
        </w:rPr>
        <w:t>ex post</w:t>
      </w:r>
      <w:r w:rsidR="006577E7" w:rsidRPr="00EB3F80">
        <w:rPr>
          <w:sz w:val="26"/>
          <w:szCs w:val="26"/>
        </w:rPr>
        <w:t xml:space="preserve"> savings of sampled projects</w:t>
      </w:r>
      <w:r w:rsidR="00C45032" w:rsidRPr="00EB3F80">
        <w:rPr>
          <w:sz w:val="26"/>
          <w:szCs w:val="26"/>
        </w:rPr>
        <w:t>.</w:t>
      </w:r>
      <w:r w:rsidR="006577E7" w:rsidRPr="00EB3F80">
        <w:rPr>
          <w:sz w:val="26"/>
          <w:szCs w:val="26"/>
        </w:rPr>
        <w:t xml:space="preserve"> </w:t>
      </w:r>
      <w:r w:rsidR="00C45032" w:rsidRPr="00EB3F80">
        <w:rPr>
          <w:sz w:val="26"/>
          <w:szCs w:val="26"/>
        </w:rPr>
        <w:t xml:space="preserve"> </w:t>
      </w:r>
      <w:r w:rsidR="006577E7" w:rsidRPr="00EB3F80">
        <w:rPr>
          <w:sz w:val="26"/>
          <w:szCs w:val="26"/>
        </w:rPr>
        <w:t>This would be a substantial change in approach and would reduce the accuracy of saving</w:t>
      </w:r>
      <w:r w:rsidR="00E06F0B" w:rsidRPr="00EB3F80">
        <w:rPr>
          <w:sz w:val="26"/>
          <w:szCs w:val="26"/>
        </w:rPr>
        <w:t>s</w:t>
      </w:r>
      <w:r w:rsidR="006577E7" w:rsidRPr="00EB3F80">
        <w:rPr>
          <w:sz w:val="26"/>
          <w:szCs w:val="26"/>
        </w:rPr>
        <w:t xml:space="preserve"> measurement for the largest lighting projects where the extra expense required to determine hours of use is most justified.</w:t>
      </w:r>
      <w:r w:rsidR="00C45032" w:rsidRPr="00EB3F80">
        <w:rPr>
          <w:sz w:val="26"/>
          <w:szCs w:val="26"/>
        </w:rPr>
        <w:t xml:space="preserve"> </w:t>
      </w:r>
      <w:r w:rsidR="00D612ED" w:rsidRPr="00EB3F80">
        <w:rPr>
          <w:sz w:val="26"/>
          <w:szCs w:val="26"/>
        </w:rPr>
        <w:t xml:space="preserve"> </w:t>
      </w:r>
    </w:p>
    <w:p w:rsidR="007622AE" w:rsidRPr="00EB3F80" w:rsidRDefault="007622AE" w:rsidP="000E4483">
      <w:pPr>
        <w:pStyle w:val="p3"/>
        <w:tabs>
          <w:tab w:val="clear" w:pos="204"/>
          <w:tab w:val="left" w:pos="720"/>
        </w:tabs>
        <w:spacing w:line="360" w:lineRule="auto"/>
        <w:rPr>
          <w:sz w:val="26"/>
          <w:szCs w:val="26"/>
        </w:rPr>
      </w:pPr>
    </w:p>
    <w:p w:rsidR="00D612ED" w:rsidRPr="00EB3F80" w:rsidRDefault="00EF68E7" w:rsidP="000E4483">
      <w:pPr>
        <w:pStyle w:val="p3"/>
        <w:tabs>
          <w:tab w:val="clear" w:pos="204"/>
          <w:tab w:val="left" w:pos="720"/>
        </w:tabs>
        <w:spacing w:line="360" w:lineRule="auto"/>
        <w:rPr>
          <w:sz w:val="26"/>
          <w:szCs w:val="26"/>
        </w:rPr>
      </w:pPr>
      <w:r w:rsidRPr="00EB3F80">
        <w:rPr>
          <w:sz w:val="26"/>
          <w:szCs w:val="26"/>
        </w:rPr>
        <w:tab/>
      </w:r>
      <w:r w:rsidR="00D612ED" w:rsidRPr="00EB3F80">
        <w:rPr>
          <w:sz w:val="26"/>
          <w:szCs w:val="26"/>
        </w:rPr>
        <w:t xml:space="preserve">The </w:t>
      </w:r>
      <w:r w:rsidR="00C45032" w:rsidRPr="00EB3F80">
        <w:rPr>
          <w:sz w:val="26"/>
          <w:szCs w:val="26"/>
        </w:rPr>
        <w:t xml:space="preserve">Commission accepts the </w:t>
      </w:r>
      <w:r w:rsidR="00D612ED" w:rsidRPr="00EB3F80">
        <w:rPr>
          <w:sz w:val="26"/>
          <w:szCs w:val="26"/>
        </w:rPr>
        <w:t xml:space="preserve">recommendation by PECO to include additional configurations of exit </w:t>
      </w:r>
      <w:r w:rsidR="007F6AAD">
        <w:rPr>
          <w:sz w:val="26"/>
          <w:szCs w:val="26"/>
        </w:rPr>
        <w:t xml:space="preserve">sign </w:t>
      </w:r>
      <w:r w:rsidR="00D612ED" w:rsidRPr="00EB3F80">
        <w:rPr>
          <w:sz w:val="26"/>
          <w:szCs w:val="26"/>
        </w:rPr>
        <w:t>lights</w:t>
      </w:r>
      <w:r w:rsidR="00C45032" w:rsidRPr="00EB3F80">
        <w:rPr>
          <w:sz w:val="26"/>
          <w:szCs w:val="26"/>
        </w:rPr>
        <w:t>.</w:t>
      </w:r>
      <w:r w:rsidR="00D612ED" w:rsidRPr="00EB3F80">
        <w:rPr>
          <w:sz w:val="26"/>
          <w:szCs w:val="26"/>
        </w:rPr>
        <w:t xml:space="preserve"> </w:t>
      </w:r>
      <w:r w:rsidR="00C45032" w:rsidRPr="00EB3F80">
        <w:rPr>
          <w:sz w:val="26"/>
          <w:szCs w:val="26"/>
        </w:rPr>
        <w:t xml:space="preserve"> </w:t>
      </w:r>
      <w:r w:rsidR="00D612ED" w:rsidRPr="00EB3F80">
        <w:rPr>
          <w:sz w:val="26"/>
          <w:szCs w:val="26"/>
        </w:rPr>
        <w:t xml:space="preserve">The TRM </w:t>
      </w:r>
      <w:r w:rsidR="00F533CB" w:rsidRPr="00EB3F80">
        <w:rPr>
          <w:sz w:val="26"/>
          <w:szCs w:val="26"/>
        </w:rPr>
        <w:t xml:space="preserve">has been updated </w:t>
      </w:r>
      <w:r w:rsidR="00D612ED" w:rsidRPr="00EB3F80">
        <w:rPr>
          <w:sz w:val="26"/>
          <w:szCs w:val="26"/>
        </w:rPr>
        <w:t>to incorporate single and double sided exit signs and to account for baselines which are either incandescent o</w:t>
      </w:r>
      <w:r w:rsidR="00A22B7C" w:rsidRPr="00EB3F80">
        <w:rPr>
          <w:sz w:val="26"/>
          <w:szCs w:val="26"/>
        </w:rPr>
        <w:t>r</w:t>
      </w:r>
      <w:r w:rsidR="00D612ED" w:rsidRPr="00EB3F80">
        <w:rPr>
          <w:sz w:val="26"/>
          <w:szCs w:val="26"/>
        </w:rPr>
        <w:t xml:space="preserve"> fluorescent.</w:t>
      </w:r>
      <w:r w:rsidR="006457D1" w:rsidRPr="00EB3F80">
        <w:rPr>
          <w:sz w:val="26"/>
          <w:szCs w:val="26"/>
        </w:rPr>
        <w:t xml:space="preserve"> </w:t>
      </w:r>
      <w:r w:rsidR="00A4605A">
        <w:rPr>
          <w:sz w:val="26"/>
          <w:szCs w:val="26"/>
        </w:rPr>
        <w:t xml:space="preserve"> </w:t>
      </w:r>
      <w:r w:rsidR="006457D1" w:rsidRPr="00EB3F80">
        <w:rPr>
          <w:sz w:val="26"/>
          <w:szCs w:val="26"/>
        </w:rPr>
        <w:t>This addition will make the TRM more accurate.</w:t>
      </w:r>
    </w:p>
    <w:p w:rsidR="00FB4CF8" w:rsidRPr="00EB3F80" w:rsidRDefault="00EF68E7" w:rsidP="000E4483">
      <w:pPr>
        <w:pStyle w:val="p3"/>
        <w:tabs>
          <w:tab w:val="clear" w:pos="204"/>
          <w:tab w:val="left" w:pos="720"/>
        </w:tabs>
        <w:spacing w:line="360" w:lineRule="auto"/>
        <w:rPr>
          <w:sz w:val="26"/>
          <w:szCs w:val="26"/>
        </w:rPr>
      </w:pPr>
      <w:r w:rsidRPr="00EB3F80">
        <w:rPr>
          <w:sz w:val="26"/>
          <w:szCs w:val="26"/>
        </w:rPr>
        <w:lastRenderedPageBreak/>
        <w:tab/>
      </w:r>
      <w:r w:rsidR="00F67998" w:rsidRPr="00EB3F80">
        <w:rPr>
          <w:sz w:val="26"/>
          <w:szCs w:val="26"/>
        </w:rPr>
        <w:t>The Commission notes that m</w:t>
      </w:r>
      <w:r w:rsidR="000009D0" w:rsidRPr="00EB3F80">
        <w:rPr>
          <w:sz w:val="26"/>
          <w:szCs w:val="26"/>
        </w:rPr>
        <w:t xml:space="preserve">any of the changes proposed by individual </w:t>
      </w:r>
      <w:r w:rsidR="005A6333">
        <w:rPr>
          <w:sz w:val="26"/>
          <w:szCs w:val="26"/>
        </w:rPr>
        <w:t>Commenters</w:t>
      </w:r>
      <w:r w:rsidR="006903A3">
        <w:rPr>
          <w:sz w:val="26"/>
          <w:szCs w:val="26"/>
        </w:rPr>
        <w:t xml:space="preserve"> cannot </w:t>
      </w:r>
      <w:r w:rsidR="000009D0" w:rsidRPr="00EB3F80">
        <w:rPr>
          <w:sz w:val="26"/>
          <w:szCs w:val="26"/>
        </w:rPr>
        <w:t xml:space="preserve">be made without </w:t>
      </w:r>
      <w:r w:rsidR="005A6333">
        <w:rPr>
          <w:sz w:val="26"/>
          <w:szCs w:val="26"/>
        </w:rPr>
        <w:t>more review and consideration</w:t>
      </w:r>
      <w:r w:rsidR="00F67998" w:rsidRPr="00EB3F80">
        <w:rPr>
          <w:sz w:val="26"/>
          <w:szCs w:val="26"/>
        </w:rPr>
        <w:t xml:space="preserve">. </w:t>
      </w:r>
      <w:r w:rsidR="00F00DE2">
        <w:rPr>
          <w:sz w:val="26"/>
          <w:szCs w:val="26"/>
        </w:rPr>
        <w:t xml:space="preserve"> </w:t>
      </w:r>
      <w:r w:rsidR="006903A3">
        <w:rPr>
          <w:sz w:val="26"/>
          <w:szCs w:val="26"/>
        </w:rPr>
        <w:t>Therefore, t</w:t>
      </w:r>
      <w:r w:rsidR="00F67998" w:rsidRPr="00EB3F80">
        <w:rPr>
          <w:sz w:val="26"/>
          <w:szCs w:val="26"/>
        </w:rPr>
        <w:t xml:space="preserve">he Commission recommends that </w:t>
      </w:r>
      <w:r w:rsidR="0028218B">
        <w:rPr>
          <w:sz w:val="26"/>
          <w:szCs w:val="26"/>
        </w:rPr>
        <w:t>the</w:t>
      </w:r>
      <w:r w:rsidR="00F67998" w:rsidRPr="00EB3F80">
        <w:rPr>
          <w:sz w:val="26"/>
          <w:szCs w:val="26"/>
        </w:rPr>
        <w:t xml:space="preserve"> changes</w:t>
      </w:r>
      <w:r w:rsidR="0028218B">
        <w:rPr>
          <w:sz w:val="26"/>
          <w:szCs w:val="26"/>
        </w:rPr>
        <w:t xml:space="preserve"> proposed by Commenters</w:t>
      </w:r>
      <w:r w:rsidR="00F67998" w:rsidRPr="00EB3F80">
        <w:rPr>
          <w:sz w:val="26"/>
          <w:szCs w:val="26"/>
        </w:rPr>
        <w:t xml:space="preserve"> </w:t>
      </w:r>
      <w:r w:rsidR="00815ED9">
        <w:rPr>
          <w:sz w:val="26"/>
          <w:szCs w:val="26"/>
        </w:rPr>
        <w:t xml:space="preserve">that are not being adopted in this TRM update </w:t>
      </w:r>
      <w:r w:rsidR="00F67998" w:rsidRPr="00EB3F80">
        <w:rPr>
          <w:sz w:val="26"/>
          <w:szCs w:val="26"/>
        </w:rPr>
        <w:t>be</w:t>
      </w:r>
      <w:r w:rsidR="0028218B">
        <w:rPr>
          <w:sz w:val="26"/>
          <w:szCs w:val="26"/>
        </w:rPr>
        <w:t xml:space="preserve"> referred to and </w:t>
      </w:r>
      <w:r w:rsidR="00F67998" w:rsidRPr="00EB3F80">
        <w:rPr>
          <w:sz w:val="26"/>
          <w:szCs w:val="26"/>
        </w:rPr>
        <w:t>considered by the</w:t>
      </w:r>
      <w:r w:rsidR="000009D0" w:rsidRPr="00EB3F80">
        <w:rPr>
          <w:sz w:val="26"/>
          <w:szCs w:val="26"/>
        </w:rPr>
        <w:t xml:space="preserve"> TWG</w:t>
      </w:r>
      <w:r w:rsidR="00F67998" w:rsidRPr="00EB3F80">
        <w:rPr>
          <w:sz w:val="26"/>
          <w:szCs w:val="26"/>
        </w:rPr>
        <w:t xml:space="preserve"> for subsequent TRM updates</w:t>
      </w:r>
      <w:r w:rsidR="000009D0" w:rsidRPr="00EB3F80">
        <w:rPr>
          <w:sz w:val="26"/>
          <w:szCs w:val="26"/>
        </w:rPr>
        <w:t xml:space="preserve">. </w:t>
      </w:r>
    </w:p>
    <w:p w:rsidR="000009D0" w:rsidRPr="00EB3F80" w:rsidRDefault="000009D0" w:rsidP="000E4483">
      <w:pPr>
        <w:pStyle w:val="p3"/>
        <w:tabs>
          <w:tab w:val="clear" w:pos="204"/>
          <w:tab w:val="left" w:pos="720"/>
        </w:tabs>
        <w:spacing w:line="360" w:lineRule="auto"/>
        <w:rPr>
          <w:sz w:val="26"/>
          <w:szCs w:val="26"/>
        </w:rPr>
      </w:pPr>
    </w:p>
    <w:p w:rsidR="00BE2EB1" w:rsidRPr="00EB3F80" w:rsidRDefault="00BE2EB1" w:rsidP="0052550D">
      <w:pPr>
        <w:pStyle w:val="p3"/>
        <w:numPr>
          <w:ilvl w:val="1"/>
          <w:numId w:val="5"/>
        </w:numPr>
        <w:tabs>
          <w:tab w:val="clear" w:pos="204"/>
          <w:tab w:val="left" w:pos="720"/>
        </w:tabs>
        <w:spacing w:line="360" w:lineRule="auto"/>
        <w:ind w:hanging="720"/>
        <w:rPr>
          <w:b/>
          <w:caps/>
          <w:sz w:val="26"/>
          <w:szCs w:val="26"/>
        </w:rPr>
      </w:pPr>
      <w:r w:rsidRPr="00EB3F80">
        <w:rPr>
          <w:b/>
          <w:sz w:val="26"/>
          <w:szCs w:val="26"/>
        </w:rPr>
        <w:t>Clarification of Commercial and Industrial Motor &amp; VFD Protocols</w:t>
      </w:r>
    </w:p>
    <w:p w:rsidR="00BE2EB1" w:rsidRPr="00EB3F80" w:rsidRDefault="00BE2EB1" w:rsidP="00BE2EB1">
      <w:pPr>
        <w:pStyle w:val="p3"/>
        <w:tabs>
          <w:tab w:val="clear" w:pos="204"/>
          <w:tab w:val="left" w:pos="720"/>
        </w:tabs>
        <w:spacing w:line="360" w:lineRule="auto"/>
        <w:rPr>
          <w:sz w:val="26"/>
          <w:szCs w:val="26"/>
        </w:rPr>
      </w:pPr>
    </w:p>
    <w:p w:rsidR="00BE2EB1" w:rsidRPr="00EB3F80" w:rsidRDefault="0028218B" w:rsidP="00BE2EB1">
      <w:pPr>
        <w:pStyle w:val="p3"/>
        <w:tabs>
          <w:tab w:val="clear" w:pos="204"/>
          <w:tab w:val="left" w:pos="720"/>
        </w:tabs>
        <w:spacing w:line="360" w:lineRule="auto"/>
        <w:rPr>
          <w:sz w:val="26"/>
          <w:szCs w:val="26"/>
        </w:rPr>
      </w:pPr>
      <w:r>
        <w:rPr>
          <w:sz w:val="26"/>
          <w:szCs w:val="26"/>
        </w:rPr>
        <w:tab/>
        <w:t>The proposed 2011 TRM made</w:t>
      </w:r>
      <w:r w:rsidR="00BE2EB1" w:rsidRPr="00EB3F80">
        <w:rPr>
          <w:sz w:val="26"/>
          <w:szCs w:val="26"/>
        </w:rPr>
        <w:t xml:space="preserve"> two clarifications to the motor and VFD protocols.  First, based on feedback from EDCs, the proposal clarifie</w:t>
      </w:r>
      <w:r w:rsidR="00C020DF">
        <w:rPr>
          <w:sz w:val="26"/>
          <w:szCs w:val="26"/>
        </w:rPr>
        <w:t>d</w:t>
      </w:r>
      <w:r w:rsidR="00BE2EB1" w:rsidRPr="00EB3F80">
        <w:rPr>
          <w:sz w:val="26"/>
          <w:szCs w:val="26"/>
        </w:rPr>
        <w:t xml:space="preserve"> the use of adjustment factors for duplex motor sets.  This clarification provide</w:t>
      </w:r>
      <w:r w:rsidR="00C020DF">
        <w:rPr>
          <w:sz w:val="26"/>
          <w:szCs w:val="26"/>
        </w:rPr>
        <w:t>d</w:t>
      </w:r>
      <w:r w:rsidR="00BE2EB1" w:rsidRPr="00EB3F80">
        <w:rPr>
          <w:sz w:val="26"/>
          <w:szCs w:val="26"/>
        </w:rPr>
        <w:t xml:space="preserve"> additional guidance for installations where one of the duplex motors is not a backup machine.</w:t>
      </w:r>
      <w:r w:rsidR="00815ED9">
        <w:rPr>
          <w:sz w:val="26"/>
          <w:szCs w:val="26"/>
        </w:rPr>
        <w:t xml:space="preserve">  </w:t>
      </w:r>
      <w:r w:rsidR="00BE2EB1" w:rsidRPr="00EB3F80">
        <w:rPr>
          <w:sz w:val="26"/>
          <w:szCs w:val="26"/>
        </w:rPr>
        <w:t>The second clarification involve</w:t>
      </w:r>
      <w:r w:rsidR="00C020DF">
        <w:rPr>
          <w:sz w:val="26"/>
          <w:szCs w:val="26"/>
        </w:rPr>
        <w:t>d</w:t>
      </w:r>
      <w:r w:rsidR="00BE2EB1" w:rsidRPr="00EB3F80">
        <w:rPr>
          <w:sz w:val="26"/>
          <w:szCs w:val="26"/>
        </w:rPr>
        <w:t xml:space="preserve"> the use of Energy Savings</w:t>
      </w:r>
      <w:r w:rsidR="00075CA3" w:rsidRPr="00EB3F80">
        <w:rPr>
          <w:sz w:val="26"/>
          <w:szCs w:val="26"/>
        </w:rPr>
        <w:t xml:space="preserve"> (“ESF”)</w:t>
      </w:r>
      <w:r w:rsidR="00BE2EB1" w:rsidRPr="00EB3F80">
        <w:rPr>
          <w:sz w:val="26"/>
          <w:szCs w:val="26"/>
        </w:rPr>
        <w:t xml:space="preserve"> and Demand Savings</w:t>
      </w:r>
      <w:r w:rsidR="00075CA3" w:rsidRPr="00EB3F80">
        <w:rPr>
          <w:sz w:val="26"/>
          <w:szCs w:val="26"/>
        </w:rPr>
        <w:t xml:space="preserve"> (“DSF”)</w:t>
      </w:r>
      <w:r w:rsidR="00BE2EB1" w:rsidRPr="00EB3F80">
        <w:rPr>
          <w:sz w:val="26"/>
          <w:szCs w:val="26"/>
        </w:rPr>
        <w:t xml:space="preserve"> Factors for the installation of </w:t>
      </w:r>
      <w:r w:rsidR="00C45032" w:rsidRPr="00EB3F80">
        <w:rPr>
          <w:sz w:val="26"/>
          <w:szCs w:val="26"/>
        </w:rPr>
        <w:t>VFDs</w:t>
      </w:r>
      <w:r w:rsidR="00BE2EB1" w:rsidRPr="00EB3F80">
        <w:rPr>
          <w:sz w:val="26"/>
          <w:szCs w:val="26"/>
        </w:rPr>
        <w:t xml:space="preserve">.  The </w:t>
      </w:r>
      <w:r w:rsidR="00C020DF">
        <w:rPr>
          <w:sz w:val="26"/>
          <w:szCs w:val="26"/>
        </w:rPr>
        <w:t>prior</w:t>
      </w:r>
      <w:r w:rsidR="00BE2EB1" w:rsidRPr="00EB3F80">
        <w:rPr>
          <w:sz w:val="26"/>
          <w:szCs w:val="26"/>
        </w:rPr>
        <w:t xml:space="preserve"> </w:t>
      </w:r>
      <w:r w:rsidR="00075CA3" w:rsidRPr="00EB3F80">
        <w:rPr>
          <w:sz w:val="26"/>
          <w:szCs w:val="26"/>
        </w:rPr>
        <w:t>ESF and DSF</w:t>
      </w:r>
      <w:r w:rsidR="00BE2EB1" w:rsidRPr="00EB3F80">
        <w:rPr>
          <w:sz w:val="26"/>
          <w:szCs w:val="26"/>
        </w:rPr>
        <w:t xml:space="preserve"> were developed based on constant volume systems.  The proposal add</w:t>
      </w:r>
      <w:r w:rsidR="00C020DF">
        <w:rPr>
          <w:sz w:val="26"/>
          <w:szCs w:val="26"/>
        </w:rPr>
        <w:t>ed</w:t>
      </w:r>
      <w:r w:rsidR="00BE2EB1" w:rsidRPr="00EB3F80">
        <w:rPr>
          <w:sz w:val="26"/>
          <w:szCs w:val="26"/>
        </w:rPr>
        <w:t xml:space="preserve"> language clarifying the proper application of the </w:t>
      </w:r>
      <w:r w:rsidR="00075CA3" w:rsidRPr="00EB3F80">
        <w:rPr>
          <w:sz w:val="26"/>
          <w:szCs w:val="26"/>
        </w:rPr>
        <w:t>ESF and DSF</w:t>
      </w:r>
      <w:r w:rsidR="00BE2EB1" w:rsidRPr="00EB3F80">
        <w:rPr>
          <w:sz w:val="26"/>
          <w:szCs w:val="26"/>
        </w:rPr>
        <w:t xml:space="preserve"> for drives.</w:t>
      </w:r>
    </w:p>
    <w:p w:rsidR="00C74A47" w:rsidRPr="00EB3F80" w:rsidRDefault="00C74A47" w:rsidP="00BE2EB1">
      <w:pPr>
        <w:pStyle w:val="p3"/>
        <w:tabs>
          <w:tab w:val="clear" w:pos="204"/>
          <w:tab w:val="left" w:pos="720"/>
        </w:tabs>
        <w:spacing w:line="360" w:lineRule="auto"/>
        <w:rPr>
          <w:sz w:val="26"/>
          <w:szCs w:val="26"/>
        </w:rPr>
      </w:pPr>
    </w:p>
    <w:p w:rsidR="00C74A47" w:rsidRPr="00EB3F80" w:rsidRDefault="00C74A47" w:rsidP="0052550D">
      <w:pPr>
        <w:pStyle w:val="p3"/>
        <w:numPr>
          <w:ilvl w:val="0"/>
          <w:numId w:val="15"/>
        </w:numPr>
        <w:tabs>
          <w:tab w:val="clear" w:pos="204"/>
          <w:tab w:val="left" w:pos="720"/>
        </w:tabs>
        <w:spacing w:line="360" w:lineRule="auto"/>
        <w:ind w:left="2160" w:hanging="720"/>
        <w:rPr>
          <w:sz w:val="26"/>
          <w:szCs w:val="26"/>
        </w:rPr>
      </w:pPr>
      <w:r w:rsidRPr="00EB3F80">
        <w:rPr>
          <w:b/>
          <w:sz w:val="26"/>
          <w:szCs w:val="26"/>
        </w:rPr>
        <w:t>Comments</w:t>
      </w:r>
    </w:p>
    <w:p w:rsidR="00EE40F1" w:rsidRPr="00EB3F80" w:rsidRDefault="00EE40F1" w:rsidP="00BE2EB1">
      <w:pPr>
        <w:pStyle w:val="p3"/>
        <w:tabs>
          <w:tab w:val="clear" w:pos="204"/>
          <w:tab w:val="left" w:pos="720"/>
        </w:tabs>
        <w:spacing w:line="360" w:lineRule="auto"/>
        <w:rPr>
          <w:sz w:val="26"/>
          <w:szCs w:val="26"/>
        </w:rPr>
      </w:pPr>
      <w:r w:rsidRPr="00EB3F80">
        <w:rPr>
          <w:sz w:val="26"/>
          <w:szCs w:val="26"/>
        </w:rPr>
        <w:tab/>
      </w:r>
    </w:p>
    <w:p w:rsidR="0052168B" w:rsidRPr="00EB3F80" w:rsidRDefault="00EE40F1" w:rsidP="0052168B">
      <w:pPr>
        <w:pStyle w:val="p3"/>
        <w:tabs>
          <w:tab w:val="clear" w:pos="204"/>
          <w:tab w:val="left" w:pos="720"/>
        </w:tabs>
        <w:spacing w:line="360" w:lineRule="auto"/>
        <w:rPr>
          <w:sz w:val="26"/>
          <w:szCs w:val="26"/>
        </w:rPr>
      </w:pPr>
      <w:r w:rsidRPr="00EB3F80">
        <w:rPr>
          <w:sz w:val="26"/>
          <w:szCs w:val="26"/>
        </w:rPr>
        <w:tab/>
      </w:r>
      <w:r w:rsidR="000B5BC8" w:rsidRPr="00EB3F80">
        <w:rPr>
          <w:sz w:val="26"/>
          <w:szCs w:val="26"/>
        </w:rPr>
        <w:t>Although modifications to the Premium Efficiency Motors section</w:t>
      </w:r>
      <w:r w:rsidR="00FB3B42" w:rsidRPr="00EB3F80">
        <w:rPr>
          <w:sz w:val="26"/>
          <w:szCs w:val="26"/>
        </w:rPr>
        <w:t xml:space="preserve"> and the VFD Improvement sections</w:t>
      </w:r>
      <w:r w:rsidR="000B5BC8" w:rsidRPr="00EB3F80">
        <w:rPr>
          <w:sz w:val="26"/>
          <w:szCs w:val="26"/>
        </w:rPr>
        <w:t xml:space="preserve"> of the 2010 TRM </w:t>
      </w:r>
      <w:r w:rsidR="00FB3B42" w:rsidRPr="00EB3F80">
        <w:rPr>
          <w:sz w:val="26"/>
          <w:szCs w:val="26"/>
        </w:rPr>
        <w:t>were minimal</w:t>
      </w:r>
      <w:r w:rsidR="000B5BC8" w:rsidRPr="00EB3F80">
        <w:rPr>
          <w:sz w:val="26"/>
          <w:szCs w:val="26"/>
        </w:rPr>
        <w:t xml:space="preserve">, PECO provided </w:t>
      </w:r>
      <w:r w:rsidR="00FB3B42" w:rsidRPr="00EB3F80">
        <w:rPr>
          <w:sz w:val="26"/>
          <w:szCs w:val="26"/>
        </w:rPr>
        <w:t>several comments</w:t>
      </w:r>
      <w:r w:rsidR="009F34FE" w:rsidRPr="009F34FE">
        <w:rPr>
          <w:sz w:val="26"/>
          <w:szCs w:val="26"/>
        </w:rPr>
        <w:t xml:space="preserve"> and clerical improvements.</w:t>
      </w:r>
      <w:r w:rsidR="00C020DF">
        <w:rPr>
          <w:sz w:val="26"/>
          <w:szCs w:val="26"/>
        </w:rPr>
        <w:t xml:space="preserve">  </w:t>
      </w:r>
      <w:r w:rsidR="00FE792A" w:rsidRPr="00FE792A">
        <w:rPr>
          <w:sz w:val="26"/>
          <w:szCs w:val="26"/>
        </w:rPr>
        <w:t xml:space="preserve">PECO requested that the applicability of the motor protocol be extended to New Construction. </w:t>
      </w:r>
      <w:r w:rsidR="00A4605A">
        <w:rPr>
          <w:sz w:val="26"/>
          <w:szCs w:val="26"/>
        </w:rPr>
        <w:t xml:space="preserve"> </w:t>
      </w:r>
      <w:r w:rsidR="00FE792A" w:rsidRPr="00FE792A">
        <w:rPr>
          <w:sz w:val="26"/>
          <w:szCs w:val="26"/>
        </w:rPr>
        <w:t>This modification is already included in Table 3-12</w:t>
      </w:r>
      <w:r w:rsidR="00F00DE2">
        <w:rPr>
          <w:sz w:val="26"/>
          <w:szCs w:val="26"/>
        </w:rPr>
        <w:t>:</w:t>
      </w:r>
      <w:r w:rsidR="00FE792A" w:rsidRPr="00FE792A">
        <w:rPr>
          <w:sz w:val="26"/>
          <w:szCs w:val="26"/>
        </w:rPr>
        <w:t xml:space="preserve"> Building Mechanical System Variables for the 2011 TRM.  </w:t>
      </w:r>
      <w:r w:rsidR="009E0F71" w:rsidRPr="00EB3F80">
        <w:rPr>
          <w:sz w:val="26"/>
          <w:szCs w:val="26"/>
        </w:rPr>
        <w:t>PECO also assert</w:t>
      </w:r>
      <w:r w:rsidR="001A42CD" w:rsidRPr="00EB3F80">
        <w:rPr>
          <w:sz w:val="26"/>
          <w:szCs w:val="26"/>
        </w:rPr>
        <w:t>ed</w:t>
      </w:r>
      <w:r w:rsidR="009E0F71" w:rsidRPr="00EB3F80">
        <w:rPr>
          <w:sz w:val="26"/>
          <w:szCs w:val="26"/>
        </w:rPr>
        <w:t xml:space="preserve"> that the reference for New Construction</w:t>
      </w:r>
      <w:r w:rsidR="002850B6" w:rsidRPr="00EB3F80">
        <w:rPr>
          <w:sz w:val="26"/>
          <w:szCs w:val="26"/>
        </w:rPr>
        <w:t xml:space="preserve"> baseline efficiencies would be the same as those</w:t>
      </w:r>
      <w:r w:rsidR="009E0F71" w:rsidRPr="00EB3F80">
        <w:rPr>
          <w:sz w:val="26"/>
          <w:szCs w:val="26"/>
        </w:rPr>
        <w:t xml:space="preserve"> listed in Tables 3-13 and 3-14</w:t>
      </w:r>
      <w:r w:rsidR="002850B6" w:rsidRPr="00EB3F80">
        <w:rPr>
          <w:sz w:val="26"/>
          <w:szCs w:val="26"/>
        </w:rPr>
        <w:t xml:space="preserve"> for </w:t>
      </w:r>
      <w:r w:rsidR="001A42CD" w:rsidRPr="00EB3F80">
        <w:rPr>
          <w:sz w:val="26"/>
          <w:szCs w:val="26"/>
        </w:rPr>
        <w:t>PY1</w:t>
      </w:r>
      <w:r w:rsidR="00B27463">
        <w:rPr>
          <w:sz w:val="26"/>
          <w:szCs w:val="26"/>
        </w:rPr>
        <w:t xml:space="preserve"> </w:t>
      </w:r>
      <w:r w:rsidR="004F3590" w:rsidRPr="00EB3F80">
        <w:rPr>
          <w:sz w:val="26"/>
          <w:szCs w:val="26"/>
        </w:rPr>
        <w:t xml:space="preserve">and </w:t>
      </w:r>
      <w:r w:rsidR="001A42CD" w:rsidRPr="00EB3F80">
        <w:rPr>
          <w:sz w:val="26"/>
          <w:szCs w:val="26"/>
        </w:rPr>
        <w:t xml:space="preserve">program year </w:t>
      </w:r>
      <w:r w:rsidR="004F3590" w:rsidRPr="00EB3F80">
        <w:rPr>
          <w:sz w:val="26"/>
          <w:szCs w:val="26"/>
        </w:rPr>
        <w:t>two</w:t>
      </w:r>
      <w:r w:rsidR="001A42CD" w:rsidRPr="00EB3F80">
        <w:rPr>
          <w:sz w:val="26"/>
          <w:szCs w:val="26"/>
        </w:rPr>
        <w:t xml:space="preserve"> (“PY2”)</w:t>
      </w:r>
      <w:r w:rsidR="00C020DF">
        <w:rPr>
          <w:sz w:val="26"/>
          <w:szCs w:val="26"/>
        </w:rPr>
        <w:t xml:space="preserve"> </w:t>
      </w:r>
      <w:r w:rsidR="002850B6" w:rsidRPr="00EB3F80">
        <w:rPr>
          <w:sz w:val="26"/>
          <w:szCs w:val="26"/>
        </w:rPr>
        <w:t>and</w:t>
      </w:r>
      <w:r w:rsidR="004F3590" w:rsidRPr="00EB3F80">
        <w:rPr>
          <w:sz w:val="26"/>
          <w:szCs w:val="26"/>
        </w:rPr>
        <w:t xml:space="preserve"> program years three </w:t>
      </w:r>
      <w:r w:rsidR="001A42CD" w:rsidRPr="00EB3F80">
        <w:rPr>
          <w:sz w:val="26"/>
          <w:szCs w:val="26"/>
        </w:rPr>
        <w:t xml:space="preserve">(“PY3”) </w:t>
      </w:r>
      <w:r w:rsidR="004F3590" w:rsidRPr="00EB3F80">
        <w:rPr>
          <w:sz w:val="26"/>
          <w:szCs w:val="26"/>
        </w:rPr>
        <w:t>and four</w:t>
      </w:r>
      <w:r w:rsidR="001A42CD" w:rsidRPr="00EB3F80">
        <w:rPr>
          <w:sz w:val="26"/>
          <w:szCs w:val="26"/>
        </w:rPr>
        <w:t xml:space="preserve"> (“PY4”)</w:t>
      </w:r>
      <w:r w:rsidR="004F3590" w:rsidRPr="00EB3F80">
        <w:rPr>
          <w:sz w:val="26"/>
          <w:szCs w:val="26"/>
        </w:rPr>
        <w:t>,</w:t>
      </w:r>
      <w:r w:rsidR="002850B6" w:rsidRPr="00EB3F80">
        <w:rPr>
          <w:sz w:val="26"/>
          <w:szCs w:val="26"/>
        </w:rPr>
        <w:t xml:space="preserve"> respectively.</w:t>
      </w:r>
      <w:r w:rsidR="001A42CD" w:rsidRPr="00EB3F80">
        <w:rPr>
          <w:rStyle w:val="FootnoteReference"/>
          <w:sz w:val="26"/>
          <w:szCs w:val="26"/>
        </w:rPr>
        <w:footnoteReference w:id="18"/>
      </w:r>
      <w:r w:rsidR="001A42CD" w:rsidRPr="00EB3F80">
        <w:rPr>
          <w:sz w:val="26"/>
          <w:szCs w:val="26"/>
        </w:rPr>
        <w:t xml:space="preserve"> </w:t>
      </w:r>
      <w:r w:rsidR="00454327">
        <w:rPr>
          <w:sz w:val="26"/>
          <w:szCs w:val="26"/>
        </w:rPr>
        <w:t xml:space="preserve"> </w:t>
      </w:r>
      <w:proofErr w:type="gramStart"/>
      <w:r w:rsidR="001A42CD" w:rsidRPr="00EB3F80">
        <w:rPr>
          <w:sz w:val="26"/>
          <w:szCs w:val="26"/>
        </w:rPr>
        <w:t xml:space="preserve">(PECO </w:t>
      </w:r>
      <w:r w:rsidR="00454327">
        <w:rPr>
          <w:sz w:val="26"/>
          <w:szCs w:val="26"/>
        </w:rPr>
        <w:t>C</w:t>
      </w:r>
      <w:r w:rsidR="001A42CD" w:rsidRPr="00EB3F80">
        <w:rPr>
          <w:sz w:val="26"/>
          <w:szCs w:val="26"/>
        </w:rPr>
        <w:t xml:space="preserve">omments </w:t>
      </w:r>
      <w:r w:rsidR="001A42CD" w:rsidRPr="00EB3F80">
        <w:rPr>
          <w:sz w:val="26"/>
          <w:szCs w:val="26"/>
        </w:rPr>
        <w:lastRenderedPageBreak/>
        <w:t xml:space="preserve">Appendix </w:t>
      </w:r>
      <w:r w:rsidR="00454327" w:rsidRPr="00EB3F80">
        <w:rPr>
          <w:sz w:val="26"/>
          <w:szCs w:val="26"/>
        </w:rPr>
        <w:t>at</w:t>
      </w:r>
      <w:r w:rsidR="001A42CD" w:rsidRPr="00EB3F80">
        <w:rPr>
          <w:sz w:val="26"/>
          <w:szCs w:val="26"/>
        </w:rPr>
        <w:t xml:space="preserve"> 8</w:t>
      </w:r>
      <w:r w:rsidR="00454327">
        <w:rPr>
          <w:sz w:val="26"/>
          <w:szCs w:val="26"/>
        </w:rPr>
        <w:t>.</w:t>
      </w:r>
      <w:r w:rsidR="001A42CD" w:rsidRPr="00EB3F80">
        <w:rPr>
          <w:sz w:val="26"/>
          <w:szCs w:val="26"/>
        </w:rPr>
        <w:t>)</w:t>
      </w:r>
      <w:proofErr w:type="gramEnd"/>
      <w:r w:rsidR="00454327">
        <w:rPr>
          <w:sz w:val="26"/>
          <w:szCs w:val="26"/>
        </w:rPr>
        <w:t xml:space="preserve">  </w:t>
      </w:r>
      <w:r w:rsidR="00FB3B42" w:rsidRPr="00EB3F80">
        <w:rPr>
          <w:sz w:val="26"/>
          <w:szCs w:val="26"/>
        </w:rPr>
        <w:t xml:space="preserve">PECO also suggested </w:t>
      </w:r>
      <w:r w:rsidR="00FD123E" w:rsidRPr="00EB3F80">
        <w:rPr>
          <w:sz w:val="26"/>
          <w:szCs w:val="26"/>
        </w:rPr>
        <w:t>confirmation of</w:t>
      </w:r>
      <w:r w:rsidR="00FB3B42" w:rsidRPr="00EB3F80">
        <w:rPr>
          <w:sz w:val="26"/>
          <w:szCs w:val="26"/>
        </w:rPr>
        <w:t xml:space="preserve"> the baseline efficiencies, noting that</w:t>
      </w:r>
      <w:r w:rsidR="009E0F71" w:rsidRPr="00EB3F80">
        <w:rPr>
          <w:sz w:val="26"/>
          <w:szCs w:val="26"/>
        </w:rPr>
        <w:t xml:space="preserve"> Table 3-13 for </w:t>
      </w:r>
      <w:r w:rsidR="003649CD" w:rsidRPr="00EB3F80">
        <w:rPr>
          <w:sz w:val="26"/>
          <w:szCs w:val="26"/>
        </w:rPr>
        <w:t xml:space="preserve">PY1 and PY2 </w:t>
      </w:r>
      <w:r w:rsidR="009F34FE" w:rsidRPr="009F34FE">
        <w:rPr>
          <w:sz w:val="26"/>
          <w:szCs w:val="26"/>
        </w:rPr>
        <w:t>did not correspond to the current EPAct standard as originally indicated in the 2010 TRM.  This reference was to the</w:t>
      </w:r>
      <w:r w:rsidR="00FE792A" w:rsidRPr="00FE792A">
        <w:rPr>
          <w:sz w:val="26"/>
          <w:szCs w:val="26"/>
        </w:rPr>
        <w:t xml:space="preserve"> EPAct 1992 standard.</w:t>
      </w:r>
      <w:r w:rsidR="00F00DE2">
        <w:rPr>
          <w:rStyle w:val="FootnoteReference"/>
          <w:sz w:val="26"/>
          <w:szCs w:val="26"/>
        </w:rPr>
        <w:footnoteReference w:id="19"/>
      </w:r>
      <w:r w:rsidR="00FE792A" w:rsidRPr="00FE792A">
        <w:rPr>
          <w:sz w:val="26"/>
          <w:szCs w:val="26"/>
        </w:rPr>
        <w:t xml:space="preserve">  </w:t>
      </w:r>
      <w:proofErr w:type="gramStart"/>
      <w:r w:rsidR="00A5463B" w:rsidRPr="00EB3F80">
        <w:rPr>
          <w:sz w:val="26"/>
          <w:szCs w:val="26"/>
        </w:rPr>
        <w:t xml:space="preserve">(PECO </w:t>
      </w:r>
      <w:r w:rsidR="00454327">
        <w:rPr>
          <w:sz w:val="26"/>
          <w:szCs w:val="26"/>
        </w:rPr>
        <w:t>C</w:t>
      </w:r>
      <w:r w:rsidR="00A5463B" w:rsidRPr="00EB3F80">
        <w:rPr>
          <w:sz w:val="26"/>
          <w:szCs w:val="26"/>
        </w:rPr>
        <w:t xml:space="preserve">omments Appendix </w:t>
      </w:r>
      <w:r w:rsidR="00454327" w:rsidRPr="00EB3F80">
        <w:rPr>
          <w:sz w:val="26"/>
          <w:szCs w:val="26"/>
        </w:rPr>
        <w:t>at</w:t>
      </w:r>
      <w:r w:rsidR="00A5463B" w:rsidRPr="00EB3F80">
        <w:rPr>
          <w:sz w:val="26"/>
          <w:szCs w:val="26"/>
        </w:rPr>
        <w:t xml:space="preserve"> 9</w:t>
      </w:r>
      <w:r w:rsidR="00454327">
        <w:rPr>
          <w:sz w:val="26"/>
          <w:szCs w:val="26"/>
        </w:rPr>
        <w:t>.</w:t>
      </w:r>
      <w:r w:rsidR="00A5463B" w:rsidRPr="00EB3F80">
        <w:rPr>
          <w:sz w:val="26"/>
          <w:szCs w:val="26"/>
        </w:rPr>
        <w:t>)</w:t>
      </w:r>
      <w:proofErr w:type="gramEnd"/>
      <w:r w:rsidR="00454327">
        <w:rPr>
          <w:sz w:val="26"/>
          <w:szCs w:val="26"/>
        </w:rPr>
        <w:t xml:space="preserve">  </w:t>
      </w:r>
      <w:r w:rsidR="00941A46" w:rsidRPr="00EB3F80">
        <w:rPr>
          <w:sz w:val="26"/>
          <w:szCs w:val="26"/>
        </w:rPr>
        <w:t>PECO note</w:t>
      </w:r>
      <w:r w:rsidR="00762C80" w:rsidRPr="00EB3F80">
        <w:rPr>
          <w:sz w:val="26"/>
          <w:szCs w:val="26"/>
        </w:rPr>
        <w:t>d</w:t>
      </w:r>
      <w:r w:rsidR="00941A46" w:rsidRPr="00EB3F80">
        <w:rPr>
          <w:sz w:val="26"/>
          <w:szCs w:val="26"/>
        </w:rPr>
        <w:t xml:space="preserve"> that Appendix D should reflect the modification set forth in the TRM and the efficienc</w:t>
      </w:r>
      <w:r w:rsidR="00E64500" w:rsidRPr="00EB3F80">
        <w:rPr>
          <w:sz w:val="26"/>
          <w:szCs w:val="26"/>
        </w:rPr>
        <w:t>ie</w:t>
      </w:r>
      <w:r w:rsidR="00941A46" w:rsidRPr="00EB3F80">
        <w:rPr>
          <w:sz w:val="26"/>
          <w:szCs w:val="26"/>
        </w:rPr>
        <w:t>s in Table 3-13 and 3-14 should be available in separate tabs for the appropriate program years.</w:t>
      </w:r>
      <w:r w:rsidR="00A5463B" w:rsidRPr="00EB3F80">
        <w:rPr>
          <w:sz w:val="26"/>
          <w:szCs w:val="26"/>
        </w:rPr>
        <w:t xml:space="preserve"> </w:t>
      </w:r>
      <w:r w:rsidR="00454327">
        <w:rPr>
          <w:sz w:val="26"/>
          <w:szCs w:val="26"/>
        </w:rPr>
        <w:t xml:space="preserve"> </w:t>
      </w:r>
      <w:proofErr w:type="gramStart"/>
      <w:r w:rsidR="00A5463B" w:rsidRPr="00EB3F80">
        <w:rPr>
          <w:sz w:val="26"/>
          <w:szCs w:val="26"/>
        </w:rPr>
        <w:t xml:space="preserve">(PECO </w:t>
      </w:r>
      <w:r w:rsidR="00454327">
        <w:rPr>
          <w:sz w:val="26"/>
          <w:szCs w:val="26"/>
        </w:rPr>
        <w:t>C</w:t>
      </w:r>
      <w:r w:rsidR="00A5463B" w:rsidRPr="00EB3F80">
        <w:rPr>
          <w:sz w:val="26"/>
          <w:szCs w:val="26"/>
        </w:rPr>
        <w:t xml:space="preserve">omments Appendix </w:t>
      </w:r>
      <w:r w:rsidR="00454327" w:rsidRPr="00EB3F80">
        <w:rPr>
          <w:sz w:val="26"/>
          <w:szCs w:val="26"/>
        </w:rPr>
        <w:t>at</w:t>
      </w:r>
      <w:r w:rsidR="00A5463B" w:rsidRPr="00EB3F80">
        <w:rPr>
          <w:sz w:val="26"/>
          <w:szCs w:val="26"/>
        </w:rPr>
        <w:t xml:space="preserve"> 9</w:t>
      </w:r>
      <w:r w:rsidR="00454327">
        <w:rPr>
          <w:sz w:val="26"/>
          <w:szCs w:val="26"/>
        </w:rPr>
        <w:t>.</w:t>
      </w:r>
      <w:r w:rsidR="00A5463B" w:rsidRPr="00EB3F80">
        <w:rPr>
          <w:sz w:val="26"/>
          <w:szCs w:val="26"/>
        </w:rPr>
        <w:t>)</w:t>
      </w:r>
      <w:proofErr w:type="gramEnd"/>
      <w:r w:rsidR="0052168B">
        <w:rPr>
          <w:sz w:val="26"/>
          <w:szCs w:val="26"/>
        </w:rPr>
        <w:t xml:space="preserve">  </w:t>
      </w:r>
      <w:r w:rsidR="0052168B" w:rsidRPr="00EB3F80">
        <w:rPr>
          <w:sz w:val="26"/>
          <w:szCs w:val="26"/>
        </w:rPr>
        <w:t>PECO also noted that modifications to Appendix D to automate functions may be possible and implied that this would improve usability.</w:t>
      </w:r>
      <w:r w:rsidR="0052168B">
        <w:rPr>
          <w:sz w:val="26"/>
          <w:szCs w:val="26"/>
        </w:rPr>
        <w:t xml:space="preserve"> </w:t>
      </w:r>
      <w:r w:rsidR="0052168B" w:rsidRPr="00EB3F80">
        <w:rPr>
          <w:sz w:val="26"/>
          <w:szCs w:val="26"/>
        </w:rPr>
        <w:t xml:space="preserve"> </w:t>
      </w:r>
      <w:proofErr w:type="gramStart"/>
      <w:r w:rsidR="0052168B" w:rsidRPr="00EB3F80">
        <w:rPr>
          <w:sz w:val="26"/>
          <w:szCs w:val="26"/>
        </w:rPr>
        <w:t xml:space="preserve">(PECO </w:t>
      </w:r>
      <w:r w:rsidR="0052168B">
        <w:rPr>
          <w:sz w:val="26"/>
          <w:szCs w:val="26"/>
        </w:rPr>
        <w:t>C</w:t>
      </w:r>
      <w:r w:rsidR="0052168B" w:rsidRPr="00EB3F80">
        <w:rPr>
          <w:sz w:val="26"/>
          <w:szCs w:val="26"/>
        </w:rPr>
        <w:t>omments Appendix at 10</w:t>
      </w:r>
      <w:r w:rsidR="0052168B">
        <w:rPr>
          <w:sz w:val="26"/>
          <w:szCs w:val="26"/>
        </w:rPr>
        <w:t xml:space="preserve"> and </w:t>
      </w:r>
      <w:r w:rsidR="0052168B" w:rsidRPr="00EB3F80">
        <w:rPr>
          <w:sz w:val="26"/>
          <w:szCs w:val="26"/>
        </w:rPr>
        <w:t>11</w:t>
      </w:r>
      <w:r w:rsidR="0052168B">
        <w:rPr>
          <w:sz w:val="26"/>
          <w:szCs w:val="26"/>
        </w:rPr>
        <w:t>.</w:t>
      </w:r>
      <w:r w:rsidR="0052168B" w:rsidRPr="00EB3F80">
        <w:rPr>
          <w:sz w:val="26"/>
          <w:szCs w:val="26"/>
        </w:rPr>
        <w:t>)</w:t>
      </w:r>
      <w:proofErr w:type="gramEnd"/>
    </w:p>
    <w:p w:rsidR="00941A46" w:rsidRPr="00EB3F80" w:rsidRDefault="00941A46" w:rsidP="00BE2EB1">
      <w:pPr>
        <w:pStyle w:val="p3"/>
        <w:tabs>
          <w:tab w:val="clear" w:pos="204"/>
          <w:tab w:val="left" w:pos="720"/>
        </w:tabs>
        <w:spacing w:line="360" w:lineRule="auto"/>
        <w:rPr>
          <w:sz w:val="26"/>
          <w:szCs w:val="26"/>
        </w:rPr>
      </w:pPr>
    </w:p>
    <w:p w:rsidR="00C74A47" w:rsidRPr="00EB3F80" w:rsidRDefault="009E0F71" w:rsidP="00BE2EB1">
      <w:pPr>
        <w:pStyle w:val="p3"/>
        <w:tabs>
          <w:tab w:val="clear" w:pos="204"/>
          <w:tab w:val="left" w:pos="720"/>
        </w:tabs>
        <w:spacing w:line="360" w:lineRule="auto"/>
        <w:rPr>
          <w:sz w:val="26"/>
          <w:szCs w:val="26"/>
        </w:rPr>
      </w:pPr>
      <w:r w:rsidRPr="00EB3F80">
        <w:rPr>
          <w:sz w:val="26"/>
          <w:szCs w:val="26"/>
        </w:rPr>
        <w:t xml:space="preserve"> </w:t>
      </w:r>
      <w:r w:rsidR="00EF68E7" w:rsidRPr="00EB3F80">
        <w:rPr>
          <w:sz w:val="26"/>
          <w:szCs w:val="26"/>
        </w:rPr>
        <w:tab/>
      </w:r>
      <w:r w:rsidR="009A39AC" w:rsidRPr="00EB3F80">
        <w:rPr>
          <w:sz w:val="26"/>
          <w:szCs w:val="26"/>
        </w:rPr>
        <w:t>PECO suggested clarification to the calculation and definition of load factor</w:t>
      </w:r>
      <w:r w:rsidR="00436E7E" w:rsidRPr="00EB3F80">
        <w:rPr>
          <w:sz w:val="26"/>
          <w:szCs w:val="26"/>
        </w:rPr>
        <w:t xml:space="preserve"> (“LF”)</w:t>
      </w:r>
      <w:r w:rsidR="009A39AC" w:rsidRPr="00EB3F80">
        <w:rPr>
          <w:sz w:val="26"/>
          <w:szCs w:val="26"/>
        </w:rPr>
        <w:t>;</w:t>
      </w:r>
      <w:r w:rsidR="00755D49" w:rsidRPr="00755D49">
        <w:rPr>
          <w:rFonts w:eastAsiaTheme="minorHAnsi"/>
          <w:sz w:val="26"/>
          <w:szCs w:val="26"/>
        </w:rPr>
        <w:t xml:space="preserve"> </w:t>
      </w:r>
      <w:r w:rsidR="009A39AC" w:rsidRPr="00EB3F80">
        <w:rPr>
          <w:sz w:val="26"/>
          <w:szCs w:val="26"/>
        </w:rPr>
        <w:t xml:space="preserve">LF = Measured motor kW / (Rated motor HP x 0.746 /nameplate efficiency). </w:t>
      </w:r>
      <w:r w:rsidR="00762C80" w:rsidRPr="00EB3F80">
        <w:rPr>
          <w:sz w:val="26"/>
          <w:szCs w:val="26"/>
        </w:rPr>
        <w:t xml:space="preserve"> </w:t>
      </w:r>
      <w:r w:rsidR="009A39AC" w:rsidRPr="00EB3F80">
        <w:rPr>
          <w:sz w:val="26"/>
          <w:szCs w:val="26"/>
        </w:rPr>
        <w:t>In addition</w:t>
      </w:r>
      <w:r w:rsidR="00762C80" w:rsidRPr="00EB3F80">
        <w:rPr>
          <w:sz w:val="26"/>
          <w:szCs w:val="26"/>
        </w:rPr>
        <w:t>,</w:t>
      </w:r>
      <w:r w:rsidR="009A39AC" w:rsidRPr="00EB3F80">
        <w:rPr>
          <w:sz w:val="26"/>
          <w:szCs w:val="26"/>
        </w:rPr>
        <w:t xml:space="preserve"> PECO suggested that uniform definitions of LF be used in both the TRM and Appendix D.</w:t>
      </w:r>
      <w:r w:rsidR="00A5463B" w:rsidRPr="00EB3F80">
        <w:rPr>
          <w:sz w:val="26"/>
          <w:szCs w:val="26"/>
        </w:rPr>
        <w:t xml:space="preserve"> </w:t>
      </w:r>
      <w:r w:rsidR="00454327">
        <w:rPr>
          <w:sz w:val="26"/>
          <w:szCs w:val="26"/>
        </w:rPr>
        <w:t xml:space="preserve"> </w:t>
      </w:r>
      <w:proofErr w:type="gramStart"/>
      <w:r w:rsidR="00A5463B" w:rsidRPr="00EB3F80">
        <w:rPr>
          <w:sz w:val="26"/>
          <w:szCs w:val="26"/>
        </w:rPr>
        <w:t xml:space="preserve">(PECO </w:t>
      </w:r>
      <w:r w:rsidR="00454327">
        <w:rPr>
          <w:sz w:val="26"/>
          <w:szCs w:val="26"/>
        </w:rPr>
        <w:t>C</w:t>
      </w:r>
      <w:r w:rsidR="00A5463B" w:rsidRPr="00EB3F80">
        <w:rPr>
          <w:sz w:val="26"/>
          <w:szCs w:val="26"/>
        </w:rPr>
        <w:t xml:space="preserve">omments Appendix </w:t>
      </w:r>
      <w:r w:rsidR="0052168B" w:rsidRPr="00EB3F80">
        <w:rPr>
          <w:sz w:val="26"/>
          <w:szCs w:val="26"/>
        </w:rPr>
        <w:t>at</w:t>
      </w:r>
      <w:r w:rsidR="00A5463B" w:rsidRPr="00EB3F80">
        <w:rPr>
          <w:sz w:val="26"/>
          <w:szCs w:val="26"/>
        </w:rPr>
        <w:t xml:space="preserve"> 10</w:t>
      </w:r>
      <w:r w:rsidR="0052168B">
        <w:rPr>
          <w:sz w:val="26"/>
          <w:szCs w:val="26"/>
        </w:rPr>
        <w:t>.</w:t>
      </w:r>
      <w:r w:rsidR="00A5463B" w:rsidRPr="00EB3F80">
        <w:rPr>
          <w:sz w:val="26"/>
          <w:szCs w:val="26"/>
        </w:rPr>
        <w:t>)</w:t>
      </w:r>
      <w:proofErr w:type="gramEnd"/>
    </w:p>
    <w:p w:rsidR="00A22B7C" w:rsidRPr="00EB3F80" w:rsidRDefault="00A22B7C" w:rsidP="00BE2EB1">
      <w:pPr>
        <w:pStyle w:val="p3"/>
        <w:tabs>
          <w:tab w:val="clear" w:pos="204"/>
          <w:tab w:val="left" w:pos="720"/>
        </w:tabs>
        <w:spacing w:line="360" w:lineRule="auto"/>
        <w:rPr>
          <w:sz w:val="26"/>
          <w:szCs w:val="26"/>
        </w:rPr>
      </w:pPr>
    </w:p>
    <w:p w:rsidR="00F22573" w:rsidRPr="00EB3F80" w:rsidRDefault="00EF68E7" w:rsidP="00BE2EB1">
      <w:pPr>
        <w:pStyle w:val="p3"/>
        <w:tabs>
          <w:tab w:val="clear" w:pos="204"/>
          <w:tab w:val="left" w:pos="720"/>
        </w:tabs>
        <w:spacing w:line="360" w:lineRule="auto"/>
        <w:rPr>
          <w:sz w:val="26"/>
          <w:szCs w:val="26"/>
        </w:rPr>
      </w:pPr>
      <w:r w:rsidRPr="00EB3F80">
        <w:rPr>
          <w:sz w:val="26"/>
          <w:szCs w:val="26"/>
        </w:rPr>
        <w:tab/>
      </w:r>
      <w:r w:rsidR="00F22573" w:rsidRPr="00EB3F80">
        <w:rPr>
          <w:sz w:val="26"/>
          <w:szCs w:val="26"/>
        </w:rPr>
        <w:t xml:space="preserve">For the </w:t>
      </w:r>
      <w:r w:rsidR="00436E7E" w:rsidRPr="00EB3F80">
        <w:rPr>
          <w:sz w:val="26"/>
          <w:szCs w:val="26"/>
        </w:rPr>
        <w:t>VFD</w:t>
      </w:r>
      <w:r w:rsidR="00F22573" w:rsidRPr="00EB3F80">
        <w:rPr>
          <w:sz w:val="26"/>
          <w:szCs w:val="26"/>
        </w:rPr>
        <w:t xml:space="preserve"> protocol, PECO recommend</w:t>
      </w:r>
      <w:r w:rsidR="00436E7E" w:rsidRPr="00EB3F80">
        <w:rPr>
          <w:sz w:val="26"/>
          <w:szCs w:val="26"/>
        </w:rPr>
        <w:t>ed</w:t>
      </w:r>
      <w:r w:rsidR="00F22573" w:rsidRPr="00EB3F80">
        <w:rPr>
          <w:sz w:val="26"/>
          <w:szCs w:val="26"/>
        </w:rPr>
        <w:t xml:space="preserve"> two improvements. </w:t>
      </w:r>
      <w:r w:rsidR="00436E7E" w:rsidRPr="00EB3F80">
        <w:rPr>
          <w:sz w:val="26"/>
          <w:szCs w:val="26"/>
        </w:rPr>
        <w:t xml:space="preserve"> </w:t>
      </w:r>
      <w:r w:rsidR="00F22573" w:rsidRPr="00EB3F80">
        <w:rPr>
          <w:sz w:val="26"/>
          <w:szCs w:val="26"/>
        </w:rPr>
        <w:t>First, PECO recommend</w:t>
      </w:r>
      <w:r w:rsidR="00436E7E" w:rsidRPr="00EB3F80">
        <w:rPr>
          <w:sz w:val="26"/>
          <w:szCs w:val="26"/>
        </w:rPr>
        <w:t>ed</w:t>
      </w:r>
      <w:r w:rsidR="00F22573" w:rsidRPr="00EB3F80">
        <w:rPr>
          <w:sz w:val="26"/>
          <w:szCs w:val="26"/>
        </w:rPr>
        <w:t xml:space="preserve"> that the protocol be applied to New Construction</w:t>
      </w:r>
      <w:r w:rsidR="00436E7E" w:rsidRPr="00EB3F80">
        <w:rPr>
          <w:sz w:val="26"/>
          <w:szCs w:val="26"/>
        </w:rPr>
        <w:t>,</w:t>
      </w:r>
      <w:r w:rsidR="00F22573" w:rsidRPr="00EB3F80">
        <w:rPr>
          <w:sz w:val="26"/>
          <w:szCs w:val="26"/>
        </w:rPr>
        <w:t xml:space="preserve"> as well as retrofit situations. </w:t>
      </w:r>
      <w:r w:rsidR="00436E7E" w:rsidRPr="00EB3F80">
        <w:rPr>
          <w:sz w:val="26"/>
          <w:szCs w:val="26"/>
        </w:rPr>
        <w:t xml:space="preserve"> </w:t>
      </w:r>
      <w:r w:rsidR="00117B17" w:rsidRPr="00EB3F80">
        <w:rPr>
          <w:sz w:val="26"/>
          <w:szCs w:val="26"/>
        </w:rPr>
        <w:t>Second, PECO note</w:t>
      </w:r>
      <w:r w:rsidR="00436E7E" w:rsidRPr="00EB3F80">
        <w:rPr>
          <w:sz w:val="26"/>
          <w:szCs w:val="26"/>
        </w:rPr>
        <w:t>d</w:t>
      </w:r>
      <w:r w:rsidR="00117B17" w:rsidRPr="00EB3F80">
        <w:rPr>
          <w:sz w:val="26"/>
          <w:szCs w:val="26"/>
        </w:rPr>
        <w:t xml:space="preserve"> that in many VFD applications</w:t>
      </w:r>
      <w:r w:rsidR="00436E7E" w:rsidRPr="00EB3F80">
        <w:rPr>
          <w:sz w:val="26"/>
          <w:szCs w:val="26"/>
        </w:rPr>
        <w:t>,</w:t>
      </w:r>
      <w:r w:rsidR="00117B17" w:rsidRPr="00EB3F80">
        <w:rPr>
          <w:sz w:val="26"/>
          <w:szCs w:val="26"/>
        </w:rPr>
        <w:t xml:space="preserve"> the baseline is not a constant volume system. </w:t>
      </w:r>
      <w:r w:rsidR="00436E7E" w:rsidRPr="00EB3F80">
        <w:rPr>
          <w:sz w:val="26"/>
          <w:szCs w:val="26"/>
        </w:rPr>
        <w:t xml:space="preserve"> </w:t>
      </w:r>
      <w:r w:rsidR="00117B17" w:rsidRPr="00EB3F80">
        <w:rPr>
          <w:sz w:val="26"/>
          <w:szCs w:val="26"/>
        </w:rPr>
        <w:t>Rather than require all these systems to use custom measure protocols, PECO recommend</w:t>
      </w:r>
      <w:r w:rsidR="00436E7E" w:rsidRPr="00EB3F80">
        <w:rPr>
          <w:sz w:val="26"/>
          <w:szCs w:val="26"/>
        </w:rPr>
        <w:t>ed</w:t>
      </w:r>
      <w:r w:rsidR="00117B17" w:rsidRPr="00EB3F80">
        <w:rPr>
          <w:sz w:val="26"/>
          <w:szCs w:val="26"/>
        </w:rPr>
        <w:t xml:space="preserve"> that an additional table or tables be developed for ESF and DSF</w:t>
      </w:r>
      <w:r w:rsidR="002C6590" w:rsidRPr="00EB3F80">
        <w:rPr>
          <w:sz w:val="26"/>
          <w:szCs w:val="26"/>
        </w:rPr>
        <w:t xml:space="preserve"> for different baseline conditions</w:t>
      </w:r>
      <w:r w:rsidR="00117B17" w:rsidRPr="00EB3F80">
        <w:rPr>
          <w:sz w:val="26"/>
          <w:szCs w:val="26"/>
        </w:rPr>
        <w:t>.</w:t>
      </w:r>
      <w:r w:rsidR="003F7E38" w:rsidRPr="00EB3F80">
        <w:rPr>
          <w:sz w:val="26"/>
          <w:szCs w:val="26"/>
        </w:rPr>
        <w:t xml:space="preserve"> </w:t>
      </w:r>
      <w:r w:rsidR="0052168B">
        <w:rPr>
          <w:sz w:val="26"/>
          <w:szCs w:val="26"/>
        </w:rPr>
        <w:t xml:space="preserve"> </w:t>
      </w:r>
      <w:proofErr w:type="gramStart"/>
      <w:r w:rsidR="003F7E38" w:rsidRPr="00EB3F80">
        <w:rPr>
          <w:sz w:val="26"/>
          <w:szCs w:val="26"/>
        </w:rPr>
        <w:t xml:space="preserve">(PECO </w:t>
      </w:r>
      <w:r w:rsidR="0052168B">
        <w:rPr>
          <w:sz w:val="26"/>
          <w:szCs w:val="26"/>
        </w:rPr>
        <w:t>C</w:t>
      </w:r>
      <w:r w:rsidR="003F7E38" w:rsidRPr="00EB3F80">
        <w:rPr>
          <w:sz w:val="26"/>
          <w:szCs w:val="26"/>
        </w:rPr>
        <w:t xml:space="preserve">omments Appendix </w:t>
      </w:r>
      <w:r w:rsidR="0052168B" w:rsidRPr="00EB3F80">
        <w:rPr>
          <w:sz w:val="26"/>
          <w:szCs w:val="26"/>
        </w:rPr>
        <w:t>at</w:t>
      </w:r>
      <w:r w:rsidR="00E1239A" w:rsidRPr="00EB3F80">
        <w:rPr>
          <w:sz w:val="26"/>
          <w:szCs w:val="26"/>
        </w:rPr>
        <w:t xml:space="preserve"> </w:t>
      </w:r>
      <w:r w:rsidR="003F7E38" w:rsidRPr="00EB3F80">
        <w:rPr>
          <w:sz w:val="26"/>
          <w:szCs w:val="26"/>
        </w:rPr>
        <w:t>9</w:t>
      </w:r>
      <w:r w:rsidR="0052168B">
        <w:rPr>
          <w:sz w:val="26"/>
          <w:szCs w:val="26"/>
        </w:rPr>
        <w:t xml:space="preserve"> and </w:t>
      </w:r>
      <w:r w:rsidR="003F7E38" w:rsidRPr="00EB3F80">
        <w:rPr>
          <w:sz w:val="26"/>
          <w:szCs w:val="26"/>
        </w:rPr>
        <w:t>10</w:t>
      </w:r>
      <w:r w:rsidR="0052168B">
        <w:rPr>
          <w:sz w:val="26"/>
          <w:szCs w:val="26"/>
        </w:rPr>
        <w:t>.</w:t>
      </w:r>
      <w:r w:rsidR="003F7E38" w:rsidRPr="00EB3F80">
        <w:rPr>
          <w:sz w:val="26"/>
          <w:szCs w:val="26"/>
        </w:rPr>
        <w:t>)</w:t>
      </w:r>
      <w:proofErr w:type="gramEnd"/>
    </w:p>
    <w:p w:rsidR="00EA3CB6" w:rsidRPr="00EB3F80" w:rsidRDefault="00EA3CB6" w:rsidP="00BE2EB1">
      <w:pPr>
        <w:pStyle w:val="p3"/>
        <w:tabs>
          <w:tab w:val="clear" w:pos="204"/>
          <w:tab w:val="left" w:pos="720"/>
        </w:tabs>
        <w:spacing w:line="360" w:lineRule="auto"/>
        <w:rPr>
          <w:sz w:val="26"/>
          <w:szCs w:val="26"/>
        </w:rPr>
      </w:pPr>
    </w:p>
    <w:p w:rsidR="00C74A47" w:rsidRPr="00EB3F80" w:rsidRDefault="008907D5" w:rsidP="008907D5">
      <w:pPr>
        <w:pStyle w:val="p3"/>
        <w:tabs>
          <w:tab w:val="clear" w:pos="204"/>
          <w:tab w:val="left" w:pos="720"/>
        </w:tabs>
        <w:spacing w:line="360" w:lineRule="auto"/>
        <w:ind w:left="1440"/>
        <w:rPr>
          <w:b/>
          <w:caps/>
          <w:sz w:val="26"/>
          <w:szCs w:val="26"/>
        </w:rPr>
      </w:pPr>
      <w:r>
        <w:rPr>
          <w:b/>
          <w:sz w:val="26"/>
          <w:szCs w:val="26"/>
        </w:rPr>
        <w:t>b.</w:t>
      </w:r>
      <w:r>
        <w:rPr>
          <w:b/>
          <w:sz w:val="26"/>
          <w:szCs w:val="26"/>
        </w:rPr>
        <w:tab/>
      </w:r>
      <w:r w:rsidR="009F34FE">
        <w:rPr>
          <w:b/>
          <w:sz w:val="26"/>
          <w:szCs w:val="26"/>
        </w:rPr>
        <w:t>Disposition</w:t>
      </w:r>
    </w:p>
    <w:p w:rsidR="00BE2EB1" w:rsidRPr="00EB3F80" w:rsidRDefault="009F34FE" w:rsidP="00BE2EB1">
      <w:pPr>
        <w:pStyle w:val="p3"/>
        <w:tabs>
          <w:tab w:val="clear" w:pos="204"/>
          <w:tab w:val="left" w:pos="720"/>
        </w:tabs>
        <w:spacing w:line="360" w:lineRule="auto"/>
        <w:rPr>
          <w:b/>
          <w:caps/>
          <w:sz w:val="26"/>
          <w:szCs w:val="26"/>
        </w:rPr>
      </w:pPr>
      <w:r>
        <w:rPr>
          <w:b/>
          <w:caps/>
          <w:sz w:val="26"/>
          <w:szCs w:val="26"/>
        </w:rPr>
        <w:tab/>
      </w:r>
    </w:p>
    <w:p w:rsidR="00A22B7C" w:rsidRPr="00EB3F80" w:rsidRDefault="009F34FE" w:rsidP="00A22B7C">
      <w:pPr>
        <w:pStyle w:val="p3"/>
        <w:tabs>
          <w:tab w:val="clear" w:pos="204"/>
          <w:tab w:val="left" w:pos="720"/>
        </w:tabs>
        <w:spacing w:line="360" w:lineRule="auto"/>
        <w:rPr>
          <w:sz w:val="26"/>
          <w:szCs w:val="26"/>
        </w:rPr>
      </w:pPr>
      <w:r>
        <w:rPr>
          <w:b/>
          <w:caps/>
          <w:sz w:val="26"/>
          <w:szCs w:val="26"/>
        </w:rPr>
        <w:tab/>
      </w:r>
      <w:r w:rsidRPr="009F34FE">
        <w:rPr>
          <w:sz w:val="26"/>
          <w:szCs w:val="26"/>
        </w:rPr>
        <w:t xml:space="preserve">Many of the suggestions recommended by PECO were already </w:t>
      </w:r>
      <w:r w:rsidR="00FE792A" w:rsidRPr="00FE792A">
        <w:rPr>
          <w:sz w:val="26"/>
          <w:szCs w:val="26"/>
        </w:rPr>
        <w:t xml:space="preserve">incorporated into the proposed 2011 TRM.  Other clerical improvements have been incorporated into the 2011 TRM and Appendix D. </w:t>
      </w:r>
      <w:r w:rsidR="00145A45">
        <w:rPr>
          <w:sz w:val="26"/>
          <w:szCs w:val="26"/>
        </w:rPr>
        <w:t xml:space="preserve"> </w:t>
      </w:r>
      <w:r w:rsidR="00FE792A" w:rsidRPr="00FE792A">
        <w:rPr>
          <w:sz w:val="26"/>
          <w:szCs w:val="26"/>
        </w:rPr>
        <w:t>Recommended changes that are now included in the documentation include:</w:t>
      </w:r>
    </w:p>
    <w:p w:rsidR="00D00180" w:rsidRDefault="00FE792A" w:rsidP="00EA3CB6">
      <w:pPr>
        <w:pStyle w:val="p3"/>
        <w:numPr>
          <w:ilvl w:val="0"/>
          <w:numId w:val="9"/>
        </w:numPr>
        <w:tabs>
          <w:tab w:val="clear" w:pos="204"/>
          <w:tab w:val="left" w:pos="720"/>
        </w:tabs>
        <w:rPr>
          <w:sz w:val="26"/>
          <w:szCs w:val="26"/>
        </w:rPr>
      </w:pPr>
      <w:r w:rsidRPr="00FE792A">
        <w:rPr>
          <w:sz w:val="26"/>
          <w:szCs w:val="26"/>
        </w:rPr>
        <w:lastRenderedPageBreak/>
        <w:t xml:space="preserve">New Construction applications can </w:t>
      </w:r>
      <w:r w:rsidR="008907D5">
        <w:rPr>
          <w:sz w:val="26"/>
          <w:szCs w:val="26"/>
        </w:rPr>
        <w:t xml:space="preserve">now </w:t>
      </w:r>
      <w:r w:rsidRPr="00FE792A">
        <w:rPr>
          <w:sz w:val="26"/>
          <w:szCs w:val="26"/>
        </w:rPr>
        <w:t xml:space="preserve">use the Premium Efficiency Motor Protocol. </w:t>
      </w:r>
      <w:r w:rsidR="00DC7E10">
        <w:rPr>
          <w:sz w:val="26"/>
          <w:szCs w:val="26"/>
        </w:rPr>
        <w:t xml:space="preserve"> </w:t>
      </w:r>
      <w:r w:rsidRPr="00FE792A">
        <w:rPr>
          <w:sz w:val="26"/>
          <w:szCs w:val="26"/>
        </w:rPr>
        <w:t xml:space="preserve">For PY1 and PY2, the baseline motor efficiency is based on the NEMA EPAct standards. </w:t>
      </w:r>
      <w:r w:rsidR="00DC7E10">
        <w:rPr>
          <w:sz w:val="26"/>
          <w:szCs w:val="26"/>
        </w:rPr>
        <w:t xml:space="preserve"> </w:t>
      </w:r>
      <w:r w:rsidRPr="00FE792A">
        <w:rPr>
          <w:sz w:val="26"/>
          <w:szCs w:val="26"/>
        </w:rPr>
        <w:t>For PY3 and PY4, the baseline motor efficiency is based on the NEMA Premium motor standards.</w:t>
      </w:r>
      <w:r w:rsidRPr="00FE792A">
        <w:rPr>
          <w:rStyle w:val="FootnoteReference"/>
          <w:sz w:val="26"/>
          <w:szCs w:val="26"/>
        </w:rPr>
        <w:footnoteReference w:id="20"/>
      </w:r>
    </w:p>
    <w:p w:rsidR="007F6AAD" w:rsidRPr="007F6AAD" w:rsidRDefault="007F6AAD" w:rsidP="00EA3CB6">
      <w:pPr>
        <w:pStyle w:val="p3"/>
        <w:numPr>
          <w:ilvl w:val="0"/>
          <w:numId w:val="9"/>
        </w:numPr>
        <w:tabs>
          <w:tab w:val="clear" w:pos="204"/>
          <w:tab w:val="left" w:pos="720"/>
        </w:tabs>
        <w:rPr>
          <w:sz w:val="26"/>
          <w:szCs w:val="26"/>
        </w:rPr>
      </w:pPr>
      <w:r w:rsidRPr="00755D49">
        <w:rPr>
          <w:sz w:val="26"/>
          <w:szCs w:val="26"/>
        </w:rPr>
        <w:t xml:space="preserve">The footnote shown in Table 3-13, has been </w:t>
      </w:r>
      <w:r w:rsidR="001A4989">
        <w:rPr>
          <w:sz w:val="26"/>
          <w:szCs w:val="26"/>
        </w:rPr>
        <w:t>changed to</w:t>
      </w:r>
      <w:r>
        <w:rPr>
          <w:sz w:val="26"/>
          <w:szCs w:val="26"/>
        </w:rPr>
        <w:t xml:space="preserve"> </w:t>
      </w:r>
      <w:r w:rsidR="001A4989">
        <w:rPr>
          <w:sz w:val="26"/>
          <w:szCs w:val="26"/>
        </w:rPr>
        <w:t>t</w:t>
      </w:r>
      <w:r w:rsidRPr="00755D49">
        <w:rPr>
          <w:sz w:val="26"/>
          <w:szCs w:val="26"/>
        </w:rPr>
        <w:t>he appropriate reference</w:t>
      </w:r>
      <w:r w:rsidR="001A4989">
        <w:rPr>
          <w:sz w:val="26"/>
          <w:szCs w:val="26"/>
        </w:rPr>
        <w:t>,</w:t>
      </w:r>
      <w:r w:rsidRPr="00755D49">
        <w:rPr>
          <w:sz w:val="26"/>
          <w:szCs w:val="26"/>
        </w:rPr>
        <w:t xml:space="preserve"> EPAct standard efficiency. </w:t>
      </w:r>
    </w:p>
    <w:p w:rsidR="002D2078" w:rsidRPr="002D2078" w:rsidRDefault="002D2078" w:rsidP="00EA3CB6">
      <w:pPr>
        <w:pStyle w:val="p3"/>
        <w:widowControl/>
        <w:numPr>
          <w:ilvl w:val="0"/>
          <w:numId w:val="9"/>
        </w:numPr>
        <w:tabs>
          <w:tab w:val="clear" w:pos="204"/>
        </w:tabs>
        <w:adjustRightInd/>
        <w:rPr>
          <w:sz w:val="26"/>
          <w:szCs w:val="26"/>
        </w:rPr>
      </w:pPr>
      <w:r>
        <w:rPr>
          <w:sz w:val="26"/>
          <w:szCs w:val="26"/>
        </w:rPr>
        <w:t xml:space="preserve">Appendix D has been modified to support savings calculations using the corresponding code standards for PY1 and PY2 (EPAct Efficiency Standard), and PY3 and PY4 (NEMA Premium Standard) as the baseline. </w:t>
      </w:r>
    </w:p>
    <w:p w:rsidR="00D00180" w:rsidRPr="00EB3F80" w:rsidRDefault="00755D49" w:rsidP="00EA3CB6">
      <w:pPr>
        <w:pStyle w:val="p3"/>
        <w:numPr>
          <w:ilvl w:val="0"/>
          <w:numId w:val="9"/>
        </w:numPr>
        <w:tabs>
          <w:tab w:val="clear" w:pos="204"/>
          <w:tab w:val="left" w:pos="720"/>
        </w:tabs>
        <w:rPr>
          <w:sz w:val="26"/>
          <w:szCs w:val="26"/>
        </w:rPr>
      </w:pPr>
      <w:r w:rsidRPr="00755D49">
        <w:rPr>
          <w:sz w:val="26"/>
          <w:szCs w:val="26"/>
        </w:rPr>
        <w:t>The definition of load factor has been clarified according to PECO’s suggestion and</w:t>
      </w:r>
      <w:r w:rsidR="003F7331">
        <w:rPr>
          <w:sz w:val="26"/>
          <w:szCs w:val="26"/>
        </w:rPr>
        <w:t xml:space="preserve"> has been</w:t>
      </w:r>
      <w:r w:rsidRPr="00755D49">
        <w:rPr>
          <w:sz w:val="26"/>
          <w:szCs w:val="26"/>
        </w:rPr>
        <w:t xml:space="preserve"> made uniform in motor applications, in VFD applications and in Appendix D. </w:t>
      </w:r>
      <w:r w:rsidR="00DC7E10">
        <w:rPr>
          <w:sz w:val="26"/>
          <w:szCs w:val="26"/>
        </w:rPr>
        <w:t xml:space="preserve"> </w:t>
      </w:r>
      <w:r w:rsidRPr="00755D49">
        <w:rPr>
          <w:sz w:val="26"/>
          <w:szCs w:val="26"/>
        </w:rPr>
        <w:t>This modification will improve the reasonableness and consistency of the TRM.</w:t>
      </w:r>
    </w:p>
    <w:p w:rsidR="00500522" w:rsidRPr="00EB3F80" w:rsidRDefault="00500522" w:rsidP="00500522">
      <w:pPr>
        <w:pStyle w:val="p3"/>
        <w:tabs>
          <w:tab w:val="clear" w:pos="204"/>
          <w:tab w:val="left" w:pos="720"/>
        </w:tabs>
        <w:spacing w:line="360" w:lineRule="auto"/>
        <w:rPr>
          <w:sz w:val="26"/>
          <w:szCs w:val="26"/>
        </w:rPr>
      </w:pPr>
    </w:p>
    <w:p w:rsidR="00500522" w:rsidRDefault="00EF68E7" w:rsidP="00500522">
      <w:pPr>
        <w:pStyle w:val="p3"/>
        <w:tabs>
          <w:tab w:val="clear" w:pos="204"/>
          <w:tab w:val="left" w:pos="720"/>
        </w:tabs>
        <w:spacing w:line="360" w:lineRule="auto"/>
        <w:rPr>
          <w:sz w:val="26"/>
          <w:szCs w:val="26"/>
        </w:rPr>
      </w:pPr>
      <w:r w:rsidRPr="00EB3F80">
        <w:rPr>
          <w:sz w:val="26"/>
          <w:szCs w:val="26"/>
        </w:rPr>
        <w:tab/>
      </w:r>
      <w:r w:rsidR="00500522" w:rsidRPr="00EB3F80">
        <w:rPr>
          <w:sz w:val="26"/>
          <w:szCs w:val="26"/>
        </w:rPr>
        <w:t>The</w:t>
      </w:r>
      <w:r w:rsidR="00402D93" w:rsidRPr="00EB3F80">
        <w:rPr>
          <w:sz w:val="26"/>
          <w:szCs w:val="26"/>
        </w:rPr>
        <w:t xml:space="preserve"> Commission rejects the</w:t>
      </w:r>
      <w:r w:rsidR="00500522" w:rsidRPr="00EB3F80">
        <w:rPr>
          <w:sz w:val="26"/>
          <w:szCs w:val="26"/>
        </w:rPr>
        <w:t xml:space="preserve"> </w:t>
      </w:r>
      <w:r w:rsidR="001F0E1B" w:rsidRPr="00EB3F80">
        <w:rPr>
          <w:sz w:val="26"/>
          <w:szCs w:val="26"/>
        </w:rPr>
        <w:t>recommendation by</w:t>
      </w:r>
      <w:r w:rsidR="00500522" w:rsidRPr="00EB3F80">
        <w:rPr>
          <w:sz w:val="26"/>
          <w:szCs w:val="26"/>
        </w:rPr>
        <w:t xml:space="preserve"> PECO</w:t>
      </w:r>
      <w:r w:rsidR="00DE49AB" w:rsidRPr="00EB3F80">
        <w:rPr>
          <w:color w:val="FF0000"/>
          <w:sz w:val="26"/>
          <w:szCs w:val="26"/>
        </w:rPr>
        <w:t xml:space="preserve"> </w:t>
      </w:r>
      <w:r w:rsidR="007D1DB8">
        <w:rPr>
          <w:sz w:val="26"/>
          <w:szCs w:val="26"/>
        </w:rPr>
        <w:t>to allow</w:t>
      </w:r>
      <w:r w:rsidR="00500522" w:rsidRPr="00EB3F80">
        <w:rPr>
          <w:sz w:val="26"/>
          <w:szCs w:val="26"/>
        </w:rPr>
        <w:t xml:space="preserve"> New Construction projects</w:t>
      </w:r>
      <w:r w:rsidR="001F0E1B" w:rsidRPr="00EB3F80">
        <w:rPr>
          <w:sz w:val="26"/>
          <w:szCs w:val="26"/>
        </w:rPr>
        <w:t xml:space="preserve"> incorporating VFDs to use a constant volume system as the baseline</w:t>
      </w:r>
      <w:r w:rsidR="00402D93" w:rsidRPr="00EB3F80">
        <w:rPr>
          <w:sz w:val="26"/>
          <w:szCs w:val="26"/>
        </w:rPr>
        <w:t>.</w:t>
      </w:r>
      <w:r w:rsidR="00E2120A">
        <w:rPr>
          <w:sz w:val="26"/>
          <w:szCs w:val="26"/>
        </w:rPr>
        <w:t xml:space="preserve">  </w:t>
      </w:r>
      <w:r w:rsidR="001F0E1B" w:rsidRPr="00EB3F80">
        <w:rPr>
          <w:sz w:val="26"/>
          <w:szCs w:val="26"/>
        </w:rPr>
        <w:t xml:space="preserve">Many new systems are </w:t>
      </w:r>
      <w:r w:rsidR="007275DA" w:rsidRPr="00EB3F80">
        <w:rPr>
          <w:sz w:val="26"/>
          <w:szCs w:val="26"/>
        </w:rPr>
        <w:t xml:space="preserve">routinely </w:t>
      </w:r>
      <w:r w:rsidR="001F0E1B" w:rsidRPr="00EB3F80">
        <w:rPr>
          <w:sz w:val="26"/>
          <w:szCs w:val="26"/>
        </w:rPr>
        <w:t xml:space="preserve">specified with </w:t>
      </w:r>
      <w:r w:rsidR="003830DA" w:rsidRPr="00EB3F80">
        <w:rPr>
          <w:sz w:val="26"/>
          <w:szCs w:val="26"/>
        </w:rPr>
        <w:t>VFDs</w:t>
      </w:r>
      <w:r w:rsidR="003830DA">
        <w:rPr>
          <w:sz w:val="26"/>
          <w:szCs w:val="26"/>
        </w:rPr>
        <w:t>;</w:t>
      </w:r>
      <w:r w:rsidR="001F0E1B" w:rsidRPr="00EB3F80">
        <w:rPr>
          <w:sz w:val="26"/>
          <w:szCs w:val="26"/>
        </w:rPr>
        <w:t xml:space="preserve"> </w:t>
      </w:r>
      <w:r w:rsidR="007275DA" w:rsidRPr="00EB3F80">
        <w:rPr>
          <w:sz w:val="26"/>
          <w:szCs w:val="26"/>
        </w:rPr>
        <w:t>therefore</w:t>
      </w:r>
      <w:r w:rsidR="006B02E9" w:rsidRPr="00EB3F80">
        <w:rPr>
          <w:sz w:val="26"/>
          <w:szCs w:val="26"/>
        </w:rPr>
        <w:t>,</w:t>
      </w:r>
      <w:r w:rsidR="007275DA" w:rsidRPr="00EB3F80">
        <w:rPr>
          <w:sz w:val="26"/>
          <w:szCs w:val="26"/>
        </w:rPr>
        <w:t xml:space="preserve"> using a constant speed baseline</w:t>
      </w:r>
      <w:r w:rsidR="001F0E1B" w:rsidRPr="00EB3F80">
        <w:rPr>
          <w:sz w:val="26"/>
          <w:szCs w:val="26"/>
        </w:rPr>
        <w:t xml:space="preserve"> is not appropriate</w:t>
      </w:r>
      <w:r w:rsidR="007D1DB8">
        <w:rPr>
          <w:sz w:val="26"/>
          <w:szCs w:val="26"/>
        </w:rPr>
        <w:t xml:space="preserve"> as it would not represent what is actually being installed</w:t>
      </w:r>
      <w:r w:rsidR="001F0E1B" w:rsidRPr="00EB3F80">
        <w:rPr>
          <w:sz w:val="26"/>
          <w:szCs w:val="26"/>
        </w:rPr>
        <w:t xml:space="preserve">. </w:t>
      </w:r>
      <w:r w:rsidR="00A8558C" w:rsidRPr="00EB3F80">
        <w:rPr>
          <w:sz w:val="26"/>
          <w:szCs w:val="26"/>
        </w:rPr>
        <w:t xml:space="preserve"> </w:t>
      </w:r>
    </w:p>
    <w:p w:rsidR="00EA3CB6" w:rsidRPr="00EB3F80" w:rsidRDefault="00EA3CB6" w:rsidP="00500522">
      <w:pPr>
        <w:pStyle w:val="p3"/>
        <w:tabs>
          <w:tab w:val="clear" w:pos="204"/>
          <w:tab w:val="left" w:pos="720"/>
        </w:tabs>
        <w:spacing w:line="360" w:lineRule="auto"/>
        <w:rPr>
          <w:sz w:val="26"/>
          <w:szCs w:val="26"/>
        </w:rPr>
      </w:pPr>
    </w:p>
    <w:p w:rsidR="001F0E1B" w:rsidRPr="00EB3F80" w:rsidRDefault="00EF68E7" w:rsidP="00500522">
      <w:pPr>
        <w:pStyle w:val="p3"/>
        <w:tabs>
          <w:tab w:val="clear" w:pos="204"/>
          <w:tab w:val="left" w:pos="720"/>
        </w:tabs>
        <w:spacing w:line="360" w:lineRule="auto"/>
        <w:rPr>
          <w:sz w:val="26"/>
          <w:szCs w:val="26"/>
        </w:rPr>
      </w:pPr>
      <w:r w:rsidRPr="00EB3F80">
        <w:rPr>
          <w:sz w:val="26"/>
          <w:szCs w:val="26"/>
        </w:rPr>
        <w:tab/>
      </w:r>
      <w:r w:rsidR="001F0E1B" w:rsidRPr="00EB3F80">
        <w:rPr>
          <w:sz w:val="26"/>
          <w:szCs w:val="26"/>
        </w:rPr>
        <w:t xml:space="preserve">The Commission supports the expansion of the VFD protocol to include applications other than those with constant volume systems as the baseline. </w:t>
      </w:r>
      <w:r w:rsidR="00DC7E10">
        <w:rPr>
          <w:sz w:val="26"/>
          <w:szCs w:val="26"/>
        </w:rPr>
        <w:t xml:space="preserve"> </w:t>
      </w:r>
      <w:r w:rsidR="00AE5A0E">
        <w:rPr>
          <w:sz w:val="26"/>
          <w:szCs w:val="26"/>
        </w:rPr>
        <w:t xml:space="preserve">The Commission believes, however, that these VFD protocols require further development and review before they can be incorporated into the TRM.  Therefore, we direct that </w:t>
      </w:r>
      <w:r w:rsidR="001F0E1B" w:rsidRPr="00EB3F80">
        <w:rPr>
          <w:sz w:val="26"/>
          <w:szCs w:val="26"/>
        </w:rPr>
        <w:t xml:space="preserve">that the values for ESF and DSF </w:t>
      </w:r>
      <w:r w:rsidR="00AD228F">
        <w:rPr>
          <w:sz w:val="26"/>
          <w:szCs w:val="26"/>
        </w:rPr>
        <w:t xml:space="preserve">for these additional VFD applications </w:t>
      </w:r>
      <w:r w:rsidR="001F0E1B" w:rsidRPr="00EB3F80">
        <w:rPr>
          <w:sz w:val="26"/>
          <w:szCs w:val="26"/>
        </w:rPr>
        <w:t xml:space="preserve">be developed using similar models as those used in the development of the existing ESF and DSF values used for the constant volume baseline calculations. </w:t>
      </w:r>
      <w:r w:rsidR="00DC7E10">
        <w:rPr>
          <w:sz w:val="26"/>
          <w:szCs w:val="26"/>
        </w:rPr>
        <w:t xml:space="preserve"> </w:t>
      </w:r>
      <w:r w:rsidR="00AD228F">
        <w:rPr>
          <w:sz w:val="26"/>
          <w:szCs w:val="26"/>
        </w:rPr>
        <w:t>T</w:t>
      </w:r>
      <w:r w:rsidR="001F0E1B" w:rsidRPr="00EB3F80">
        <w:rPr>
          <w:sz w:val="26"/>
          <w:szCs w:val="26"/>
        </w:rPr>
        <w:t xml:space="preserve">his work </w:t>
      </w:r>
      <w:r w:rsidR="00AD228F">
        <w:rPr>
          <w:sz w:val="26"/>
          <w:szCs w:val="26"/>
        </w:rPr>
        <w:t xml:space="preserve">is to </w:t>
      </w:r>
      <w:r w:rsidR="001F0E1B" w:rsidRPr="00EB3F80">
        <w:rPr>
          <w:sz w:val="26"/>
          <w:szCs w:val="26"/>
        </w:rPr>
        <w:t xml:space="preserve">be undertaken </w:t>
      </w:r>
      <w:r w:rsidR="002C6590" w:rsidRPr="00EB3F80">
        <w:rPr>
          <w:sz w:val="26"/>
          <w:szCs w:val="26"/>
        </w:rPr>
        <w:t xml:space="preserve">by </w:t>
      </w:r>
      <w:r w:rsidR="00AD228F">
        <w:rPr>
          <w:sz w:val="26"/>
          <w:szCs w:val="26"/>
        </w:rPr>
        <w:t>the TWG to develop such protocols for inclusion in future TRM updates.</w:t>
      </w:r>
    </w:p>
    <w:p w:rsidR="008B522E" w:rsidRDefault="008B522E" w:rsidP="00BE2EB1">
      <w:pPr>
        <w:pStyle w:val="p3"/>
        <w:tabs>
          <w:tab w:val="clear" w:pos="204"/>
          <w:tab w:val="left" w:pos="720"/>
        </w:tabs>
        <w:spacing w:line="360" w:lineRule="auto"/>
        <w:rPr>
          <w:b/>
          <w:caps/>
          <w:sz w:val="26"/>
          <w:szCs w:val="26"/>
        </w:rPr>
      </w:pPr>
    </w:p>
    <w:p w:rsidR="00D66700" w:rsidRDefault="00D66700" w:rsidP="00BE2EB1">
      <w:pPr>
        <w:pStyle w:val="p3"/>
        <w:tabs>
          <w:tab w:val="clear" w:pos="204"/>
          <w:tab w:val="left" w:pos="720"/>
        </w:tabs>
        <w:spacing w:line="360" w:lineRule="auto"/>
        <w:rPr>
          <w:b/>
          <w:caps/>
          <w:sz w:val="26"/>
          <w:szCs w:val="26"/>
        </w:rPr>
      </w:pPr>
    </w:p>
    <w:p w:rsidR="00D66700" w:rsidRPr="00EB3F80" w:rsidRDefault="00D66700" w:rsidP="00BE2EB1">
      <w:pPr>
        <w:pStyle w:val="p3"/>
        <w:tabs>
          <w:tab w:val="clear" w:pos="204"/>
          <w:tab w:val="left" w:pos="720"/>
        </w:tabs>
        <w:spacing w:line="360" w:lineRule="auto"/>
        <w:rPr>
          <w:b/>
          <w:caps/>
          <w:sz w:val="26"/>
          <w:szCs w:val="26"/>
        </w:rPr>
      </w:pPr>
    </w:p>
    <w:p w:rsidR="00BE2EB1" w:rsidRPr="00EB3F80" w:rsidRDefault="00BE2EB1" w:rsidP="0052550D">
      <w:pPr>
        <w:pStyle w:val="p3"/>
        <w:numPr>
          <w:ilvl w:val="1"/>
          <w:numId w:val="5"/>
        </w:numPr>
        <w:tabs>
          <w:tab w:val="clear" w:pos="204"/>
          <w:tab w:val="left" w:pos="720"/>
        </w:tabs>
        <w:spacing w:line="360" w:lineRule="auto"/>
        <w:ind w:hanging="720"/>
        <w:rPr>
          <w:b/>
          <w:caps/>
          <w:sz w:val="26"/>
          <w:szCs w:val="26"/>
        </w:rPr>
      </w:pPr>
      <w:r w:rsidRPr="00EB3F80">
        <w:rPr>
          <w:b/>
          <w:sz w:val="26"/>
          <w:szCs w:val="26"/>
        </w:rPr>
        <w:lastRenderedPageBreak/>
        <w:t>Clarification of the Chiller Protocols</w:t>
      </w:r>
    </w:p>
    <w:p w:rsidR="00BE2EB1" w:rsidRPr="00EB3F80" w:rsidRDefault="00BE2EB1" w:rsidP="00BE2EB1">
      <w:pPr>
        <w:pStyle w:val="p3"/>
        <w:tabs>
          <w:tab w:val="clear" w:pos="204"/>
          <w:tab w:val="left" w:pos="720"/>
        </w:tabs>
        <w:spacing w:line="360" w:lineRule="auto"/>
        <w:rPr>
          <w:b/>
          <w:caps/>
          <w:sz w:val="26"/>
          <w:szCs w:val="26"/>
        </w:rPr>
      </w:pPr>
    </w:p>
    <w:p w:rsidR="00BE2EB1" w:rsidRPr="00EB3F80" w:rsidRDefault="00BE2EB1" w:rsidP="00BE2EB1">
      <w:pPr>
        <w:spacing w:line="360" w:lineRule="auto"/>
        <w:ind w:firstLine="720"/>
        <w:rPr>
          <w:sz w:val="26"/>
          <w:szCs w:val="26"/>
        </w:rPr>
      </w:pPr>
      <w:r w:rsidRPr="00EB3F80">
        <w:rPr>
          <w:sz w:val="26"/>
          <w:szCs w:val="26"/>
        </w:rPr>
        <w:t>The 2010 TRM did not include several varieties of chillers and their energy use per ton of cooling produced.  The proposed 2011 TRM add</w:t>
      </w:r>
      <w:r w:rsidR="00AD228F">
        <w:rPr>
          <w:sz w:val="26"/>
          <w:szCs w:val="26"/>
        </w:rPr>
        <w:t>ed</w:t>
      </w:r>
      <w:r w:rsidRPr="00EB3F80">
        <w:rPr>
          <w:sz w:val="26"/>
          <w:szCs w:val="26"/>
        </w:rPr>
        <w:t xml:space="preserve"> chiller categories and energy use based on </w:t>
      </w:r>
      <w:r w:rsidR="00525B05">
        <w:rPr>
          <w:sz w:val="26"/>
          <w:szCs w:val="26"/>
        </w:rPr>
        <w:t xml:space="preserve">the </w:t>
      </w:r>
      <w:r w:rsidR="00874D5F" w:rsidRPr="00EB3F80">
        <w:rPr>
          <w:sz w:val="26"/>
          <w:szCs w:val="26"/>
        </w:rPr>
        <w:t xml:space="preserve">IECC 2009 </w:t>
      </w:r>
      <w:r w:rsidRPr="00EB3F80">
        <w:rPr>
          <w:sz w:val="26"/>
          <w:szCs w:val="26"/>
        </w:rPr>
        <w:t>standards for water cooled positive displacement chillers, reciprocating chillers, and water cooled centrifugal chillers.</w:t>
      </w:r>
      <w:r w:rsidR="00167F90" w:rsidRPr="00EB3F80">
        <w:rPr>
          <w:sz w:val="26"/>
          <w:szCs w:val="26"/>
        </w:rPr>
        <w:t xml:space="preserve">  In addition, </w:t>
      </w:r>
      <w:r w:rsidR="00244256" w:rsidRPr="00EB3F80">
        <w:rPr>
          <w:sz w:val="26"/>
          <w:szCs w:val="26"/>
        </w:rPr>
        <w:t xml:space="preserve">many </w:t>
      </w:r>
      <w:r w:rsidR="005A1664" w:rsidRPr="00EB3F80">
        <w:rPr>
          <w:sz w:val="26"/>
          <w:szCs w:val="26"/>
        </w:rPr>
        <w:t>of the commenting parties</w:t>
      </w:r>
      <w:r w:rsidR="00244256" w:rsidRPr="00EB3F80">
        <w:rPr>
          <w:sz w:val="26"/>
          <w:szCs w:val="26"/>
        </w:rPr>
        <w:t xml:space="preserve"> discussed</w:t>
      </w:r>
      <w:r w:rsidR="008E4A4C" w:rsidRPr="00EB3F80">
        <w:rPr>
          <w:sz w:val="26"/>
          <w:szCs w:val="26"/>
        </w:rPr>
        <w:t xml:space="preserve"> clarification, baseline efficiencies, and other aspects of the chiller protocols as </w:t>
      </w:r>
      <w:r w:rsidR="006457D1" w:rsidRPr="00EB3F80">
        <w:rPr>
          <w:sz w:val="26"/>
          <w:szCs w:val="26"/>
        </w:rPr>
        <w:t xml:space="preserve">categorized </w:t>
      </w:r>
      <w:r w:rsidR="008E4A4C" w:rsidRPr="00EB3F80">
        <w:rPr>
          <w:sz w:val="26"/>
          <w:szCs w:val="26"/>
        </w:rPr>
        <w:t>below.</w:t>
      </w:r>
    </w:p>
    <w:p w:rsidR="00D00180" w:rsidRPr="00EB3F80" w:rsidRDefault="00D00180" w:rsidP="00BE2EB1">
      <w:pPr>
        <w:spacing w:line="360" w:lineRule="auto"/>
        <w:rPr>
          <w:b/>
          <w:sz w:val="26"/>
          <w:szCs w:val="26"/>
        </w:rPr>
      </w:pPr>
    </w:p>
    <w:p w:rsidR="00D00180" w:rsidRPr="00EB3F80" w:rsidRDefault="00D00180" w:rsidP="0052550D">
      <w:pPr>
        <w:pStyle w:val="ListParagraph"/>
        <w:numPr>
          <w:ilvl w:val="0"/>
          <w:numId w:val="10"/>
        </w:numPr>
        <w:spacing w:line="360" w:lineRule="auto"/>
        <w:ind w:left="2160" w:hanging="720"/>
        <w:rPr>
          <w:b/>
          <w:sz w:val="26"/>
          <w:szCs w:val="26"/>
        </w:rPr>
      </w:pPr>
      <w:r w:rsidRPr="00EB3F80">
        <w:rPr>
          <w:b/>
          <w:sz w:val="26"/>
          <w:szCs w:val="26"/>
        </w:rPr>
        <w:t>Language Clarification</w:t>
      </w:r>
      <w:r w:rsidR="006457D1" w:rsidRPr="00EB3F80">
        <w:rPr>
          <w:b/>
          <w:sz w:val="26"/>
          <w:szCs w:val="26"/>
        </w:rPr>
        <w:t>,</w:t>
      </w:r>
      <w:r w:rsidR="007B4F2C" w:rsidRPr="00EB3F80">
        <w:rPr>
          <w:b/>
          <w:sz w:val="26"/>
          <w:szCs w:val="26"/>
        </w:rPr>
        <w:t xml:space="preserve"> Definition of Terms</w:t>
      </w:r>
      <w:r w:rsidR="006457D1" w:rsidRPr="00EB3F80">
        <w:rPr>
          <w:b/>
          <w:sz w:val="26"/>
          <w:szCs w:val="26"/>
        </w:rPr>
        <w:t>, and Algorithms</w:t>
      </w:r>
    </w:p>
    <w:p w:rsidR="00D00180" w:rsidRPr="00EB3F80" w:rsidRDefault="00D00180" w:rsidP="00D00180">
      <w:pPr>
        <w:spacing w:line="360" w:lineRule="auto"/>
        <w:ind w:left="720" w:firstLine="720"/>
        <w:rPr>
          <w:b/>
          <w:sz w:val="26"/>
          <w:szCs w:val="26"/>
        </w:rPr>
      </w:pPr>
    </w:p>
    <w:p w:rsidR="00D00180" w:rsidRPr="00EB3F80" w:rsidRDefault="00D00180" w:rsidP="0052550D">
      <w:pPr>
        <w:pStyle w:val="p3"/>
        <w:numPr>
          <w:ilvl w:val="2"/>
          <w:numId w:val="7"/>
        </w:numPr>
        <w:tabs>
          <w:tab w:val="clear" w:pos="204"/>
          <w:tab w:val="left" w:pos="720"/>
        </w:tabs>
        <w:spacing w:line="360" w:lineRule="auto"/>
        <w:ind w:left="2880" w:hanging="720"/>
        <w:rPr>
          <w:b/>
          <w:sz w:val="26"/>
          <w:szCs w:val="26"/>
        </w:rPr>
      </w:pPr>
      <w:r w:rsidRPr="00EB3F80">
        <w:rPr>
          <w:b/>
          <w:sz w:val="26"/>
          <w:szCs w:val="26"/>
        </w:rPr>
        <w:t>Comments</w:t>
      </w:r>
    </w:p>
    <w:p w:rsidR="00D00180" w:rsidRPr="00EB3F80" w:rsidRDefault="00D00180" w:rsidP="00D00180">
      <w:pPr>
        <w:pStyle w:val="p3"/>
        <w:tabs>
          <w:tab w:val="clear" w:pos="204"/>
          <w:tab w:val="left" w:pos="720"/>
        </w:tabs>
        <w:spacing w:line="360" w:lineRule="auto"/>
        <w:rPr>
          <w:b/>
          <w:sz w:val="26"/>
          <w:szCs w:val="26"/>
        </w:rPr>
      </w:pPr>
    </w:p>
    <w:p w:rsidR="00D00180" w:rsidRPr="00EB3F80" w:rsidRDefault="00EF68E7" w:rsidP="000419F3">
      <w:pPr>
        <w:pStyle w:val="p3"/>
        <w:tabs>
          <w:tab w:val="clear" w:pos="204"/>
          <w:tab w:val="left" w:pos="720"/>
        </w:tabs>
        <w:spacing w:line="360" w:lineRule="auto"/>
        <w:rPr>
          <w:rFonts w:eastAsiaTheme="minorHAnsi"/>
          <w:sz w:val="26"/>
          <w:szCs w:val="26"/>
        </w:rPr>
      </w:pPr>
      <w:r w:rsidRPr="00EB3F80">
        <w:rPr>
          <w:sz w:val="26"/>
          <w:szCs w:val="26"/>
        </w:rPr>
        <w:tab/>
      </w:r>
      <w:r w:rsidR="00D00180" w:rsidRPr="00EB3F80">
        <w:rPr>
          <w:sz w:val="26"/>
          <w:szCs w:val="26"/>
        </w:rPr>
        <w:t>PECO note</w:t>
      </w:r>
      <w:r w:rsidR="009F34FE">
        <w:rPr>
          <w:sz w:val="26"/>
          <w:szCs w:val="26"/>
        </w:rPr>
        <w:t>d</w:t>
      </w:r>
      <w:r w:rsidR="003F7331">
        <w:rPr>
          <w:sz w:val="26"/>
          <w:szCs w:val="26"/>
        </w:rPr>
        <w:t xml:space="preserve"> that</w:t>
      </w:r>
      <w:r w:rsidR="009F34FE">
        <w:rPr>
          <w:sz w:val="26"/>
          <w:szCs w:val="26"/>
        </w:rPr>
        <w:t xml:space="preserve"> the first sentence of the introductory paragraph of Section 3.7 states, </w:t>
      </w:r>
      <w:r w:rsidR="009F34FE">
        <w:rPr>
          <w:rFonts w:eastAsiaTheme="minorHAnsi"/>
          <w:sz w:val="26"/>
          <w:szCs w:val="26"/>
        </w:rPr>
        <w:t xml:space="preserve">“This protocol estimates savings for installing high efficiency electric chillers compared to standard efficiency chillers.”  PECO claimed </w:t>
      </w:r>
      <w:r w:rsidR="00EA3CB6">
        <w:rPr>
          <w:rFonts w:eastAsiaTheme="minorHAnsi"/>
          <w:sz w:val="26"/>
          <w:szCs w:val="26"/>
        </w:rPr>
        <w:t>that t</w:t>
      </w:r>
      <w:r w:rsidR="009F34FE">
        <w:rPr>
          <w:rFonts w:eastAsiaTheme="minorHAnsi"/>
          <w:sz w:val="26"/>
          <w:szCs w:val="26"/>
        </w:rPr>
        <w:t>his statement is incorrect as the baseline set by the standard is the code-minimum perfor</w:t>
      </w:r>
      <w:r w:rsidR="00EA3CB6">
        <w:rPr>
          <w:rFonts w:eastAsiaTheme="minorHAnsi"/>
          <w:sz w:val="26"/>
          <w:szCs w:val="26"/>
        </w:rPr>
        <w:t>mance chiller of the same type.</w:t>
      </w:r>
      <w:r w:rsidR="009F34FE">
        <w:rPr>
          <w:rFonts w:eastAsiaTheme="minorHAnsi"/>
          <w:sz w:val="26"/>
          <w:szCs w:val="26"/>
        </w:rPr>
        <w:t xml:space="preserve">  PECO suggested the first sentence be corrected to read, “This protocol estimates savings for installing high efficiency electric chillers as compared to chillers that meet the minimum performance allowed by the current PA Energy Code.” </w:t>
      </w:r>
      <w:r w:rsidR="00AA69B9">
        <w:rPr>
          <w:rFonts w:eastAsiaTheme="minorHAnsi"/>
          <w:sz w:val="26"/>
          <w:szCs w:val="26"/>
        </w:rPr>
        <w:t xml:space="preserve"> </w:t>
      </w:r>
      <w:proofErr w:type="gramStart"/>
      <w:r w:rsidR="009F34FE">
        <w:rPr>
          <w:rFonts w:eastAsiaTheme="minorHAnsi"/>
          <w:sz w:val="26"/>
          <w:szCs w:val="26"/>
        </w:rPr>
        <w:t xml:space="preserve">(PECO </w:t>
      </w:r>
      <w:r w:rsidR="000419F3">
        <w:rPr>
          <w:rFonts w:eastAsiaTheme="minorHAnsi"/>
          <w:sz w:val="26"/>
          <w:szCs w:val="26"/>
        </w:rPr>
        <w:t>C</w:t>
      </w:r>
      <w:r w:rsidR="009F34FE">
        <w:rPr>
          <w:rFonts w:eastAsiaTheme="minorHAnsi"/>
          <w:sz w:val="26"/>
          <w:szCs w:val="26"/>
        </w:rPr>
        <w:t xml:space="preserve">omments Appendix </w:t>
      </w:r>
      <w:r w:rsidR="000419F3">
        <w:rPr>
          <w:rFonts w:eastAsiaTheme="minorHAnsi"/>
          <w:sz w:val="26"/>
          <w:szCs w:val="26"/>
        </w:rPr>
        <w:t>at</w:t>
      </w:r>
      <w:r w:rsidR="009F34FE">
        <w:rPr>
          <w:rFonts w:eastAsiaTheme="minorHAnsi"/>
          <w:sz w:val="26"/>
          <w:szCs w:val="26"/>
        </w:rPr>
        <w:t xml:space="preserve"> 14</w:t>
      </w:r>
      <w:r w:rsidR="000419F3">
        <w:rPr>
          <w:rFonts w:eastAsiaTheme="minorHAnsi"/>
          <w:sz w:val="26"/>
          <w:szCs w:val="26"/>
        </w:rPr>
        <w:t xml:space="preserve"> and </w:t>
      </w:r>
      <w:r w:rsidR="009F34FE">
        <w:rPr>
          <w:rFonts w:eastAsiaTheme="minorHAnsi"/>
          <w:sz w:val="26"/>
          <w:szCs w:val="26"/>
        </w:rPr>
        <w:t>15</w:t>
      </w:r>
      <w:r w:rsidR="000419F3">
        <w:rPr>
          <w:rFonts w:eastAsiaTheme="minorHAnsi"/>
          <w:sz w:val="26"/>
          <w:szCs w:val="26"/>
        </w:rPr>
        <w:t>.</w:t>
      </w:r>
      <w:r w:rsidR="009F34FE">
        <w:rPr>
          <w:rFonts w:eastAsiaTheme="minorHAnsi"/>
          <w:sz w:val="26"/>
          <w:szCs w:val="26"/>
        </w:rPr>
        <w:t>)</w:t>
      </w:r>
      <w:proofErr w:type="gramEnd"/>
      <w:r w:rsidR="000419F3">
        <w:rPr>
          <w:rFonts w:eastAsiaTheme="minorHAnsi"/>
          <w:sz w:val="26"/>
          <w:szCs w:val="26"/>
        </w:rPr>
        <w:t xml:space="preserve">  </w:t>
      </w:r>
      <w:r w:rsidR="009F34FE">
        <w:rPr>
          <w:sz w:val="26"/>
          <w:szCs w:val="26"/>
        </w:rPr>
        <w:t xml:space="preserve">PECO also commented that the third sentence of the first paragraph of the introductory section and the second paragraph of the introductory section of Section 3.7 limit the scope of the measure relative to VFDs on chillers.  PECO noted </w:t>
      </w:r>
      <w:r w:rsidR="009F34FE">
        <w:rPr>
          <w:rFonts w:eastAsiaTheme="minorHAnsi"/>
          <w:sz w:val="26"/>
          <w:szCs w:val="26"/>
        </w:rPr>
        <w:t xml:space="preserve">that these statements specifically remove chillers with VFDs from the applicability of Section 3.7. </w:t>
      </w:r>
      <w:r w:rsidR="000419F3">
        <w:rPr>
          <w:rFonts w:eastAsiaTheme="minorHAnsi"/>
          <w:sz w:val="26"/>
          <w:szCs w:val="26"/>
        </w:rPr>
        <w:t xml:space="preserve"> </w:t>
      </w:r>
      <w:proofErr w:type="gramStart"/>
      <w:r w:rsidR="009F34FE">
        <w:rPr>
          <w:rFonts w:eastAsiaTheme="minorHAnsi"/>
          <w:sz w:val="26"/>
          <w:szCs w:val="26"/>
        </w:rPr>
        <w:t xml:space="preserve">(PECO </w:t>
      </w:r>
      <w:r w:rsidR="000419F3">
        <w:rPr>
          <w:rFonts w:eastAsiaTheme="minorHAnsi"/>
          <w:sz w:val="26"/>
          <w:szCs w:val="26"/>
        </w:rPr>
        <w:t>C</w:t>
      </w:r>
      <w:r w:rsidR="009F34FE">
        <w:rPr>
          <w:rFonts w:eastAsiaTheme="minorHAnsi"/>
          <w:sz w:val="26"/>
          <w:szCs w:val="26"/>
        </w:rPr>
        <w:t xml:space="preserve">omments Appendix </w:t>
      </w:r>
      <w:r w:rsidR="000419F3">
        <w:rPr>
          <w:rFonts w:eastAsiaTheme="minorHAnsi"/>
          <w:sz w:val="26"/>
          <w:szCs w:val="26"/>
        </w:rPr>
        <w:t>at</w:t>
      </w:r>
      <w:r w:rsidR="009F34FE">
        <w:rPr>
          <w:rFonts w:eastAsiaTheme="minorHAnsi"/>
          <w:sz w:val="26"/>
          <w:szCs w:val="26"/>
        </w:rPr>
        <w:t xml:space="preserve"> 16</w:t>
      </w:r>
      <w:r w:rsidR="000419F3">
        <w:rPr>
          <w:rFonts w:eastAsiaTheme="minorHAnsi"/>
          <w:sz w:val="26"/>
          <w:szCs w:val="26"/>
        </w:rPr>
        <w:t>.</w:t>
      </w:r>
      <w:r w:rsidR="009F34FE">
        <w:rPr>
          <w:rFonts w:eastAsiaTheme="minorHAnsi"/>
          <w:sz w:val="26"/>
          <w:szCs w:val="26"/>
        </w:rPr>
        <w:t>)</w:t>
      </w:r>
      <w:proofErr w:type="gramEnd"/>
    </w:p>
    <w:p w:rsidR="00D00180" w:rsidRDefault="00D00180" w:rsidP="00D00180">
      <w:pPr>
        <w:overflowPunct/>
        <w:spacing w:line="360" w:lineRule="auto"/>
        <w:textAlignment w:val="auto"/>
        <w:rPr>
          <w:sz w:val="26"/>
          <w:szCs w:val="26"/>
        </w:rPr>
      </w:pPr>
    </w:p>
    <w:p w:rsidR="00D66700" w:rsidRDefault="00D66700" w:rsidP="00D00180">
      <w:pPr>
        <w:overflowPunct/>
        <w:spacing w:line="360" w:lineRule="auto"/>
        <w:textAlignment w:val="auto"/>
        <w:rPr>
          <w:sz w:val="26"/>
          <w:szCs w:val="26"/>
        </w:rPr>
      </w:pPr>
    </w:p>
    <w:p w:rsidR="00D66700" w:rsidRPr="00EB3F80" w:rsidRDefault="00D66700" w:rsidP="00D00180">
      <w:pPr>
        <w:overflowPunct/>
        <w:spacing w:line="360" w:lineRule="auto"/>
        <w:textAlignment w:val="auto"/>
        <w:rPr>
          <w:sz w:val="26"/>
          <w:szCs w:val="26"/>
        </w:rPr>
      </w:pPr>
    </w:p>
    <w:p w:rsidR="0056238E" w:rsidRDefault="000419F3" w:rsidP="00EF68E7">
      <w:pPr>
        <w:overflowPunct/>
        <w:spacing w:line="360" w:lineRule="auto"/>
        <w:ind w:firstLine="720"/>
        <w:textAlignment w:val="auto"/>
        <w:rPr>
          <w:rFonts w:eastAsiaTheme="minorHAnsi"/>
          <w:sz w:val="26"/>
          <w:szCs w:val="26"/>
        </w:rPr>
      </w:pPr>
      <w:r>
        <w:rPr>
          <w:rFonts w:eastAsiaTheme="minorHAnsi"/>
          <w:sz w:val="26"/>
          <w:szCs w:val="26"/>
        </w:rPr>
        <w:lastRenderedPageBreak/>
        <w:t>PECO suggested that the last sentence</w:t>
      </w:r>
      <w:r w:rsidR="009F34FE">
        <w:rPr>
          <w:sz w:val="26"/>
          <w:szCs w:val="26"/>
        </w:rPr>
        <w:t xml:space="preserve"> of the introductory paragraph of Section 3.7 </w:t>
      </w:r>
      <w:r w:rsidR="009F34FE">
        <w:rPr>
          <w:rFonts w:eastAsiaTheme="minorHAnsi"/>
          <w:sz w:val="26"/>
          <w:szCs w:val="26"/>
        </w:rPr>
        <w:t>be tempered to read</w:t>
      </w:r>
      <w:r w:rsidR="0056238E">
        <w:rPr>
          <w:rFonts w:eastAsiaTheme="minorHAnsi"/>
          <w:sz w:val="26"/>
          <w:szCs w:val="26"/>
        </w:rPr>
        <w:t xml:space="preserve"> as follows:</w:t>
      </w:r>
    </w:p>
    <w:p w:rsidR="0056238E" w:rsidRDefault="009F34FE" w:rsidP="0056238E">
      <w:pPr>
        <w:overflowPunct/>
        <w:ind w:left="720" w:right="720"/>
        <w:textAlignment w:val="auto"/>
        <w:rPr>
          <w:rFonts w:eastAsiaTheme="minorHAnsi"/>
          <w:sz w:val="26"/>
          <w:szCs w:val="26"/>
        </w:rPr>
      </w:pPr>
      <w:r>
        <w:rPr>
          <w:rFonts w:eastAsiaTheme="minorHAnsi"/>
          <w:sz w:val="26"/>
          <w:szCs w:val="26"/>
        </w:rPr>
        <w:t>The savings calculated using the prescriptive algorithms need to be supported by certification that the chiller operates above 70 percent load for a majority (50% or more) of operating hours AND the estimated load during peak periods (Path A), or below 70% load for a majority of operating hours (Path B) and esti</w:t>
      </w:r>
      <w:r w:rsidR="0056238E">
        <w:rPr>
          <w:rFonts w:eastAsiaTheme="minorHAnsi"/>
          <w:sz w:val="26"/>
          <w:szCs w:val="26"/>
        </w:rPr>
        <w:t>mated load during peak periods.</w:t>
      </w:r>
    </w:p>
    <w:p w:rsidR="00D00180" w:rsidRPr="00EB3F80" w:rsidRDefault="009F34FE" w:rsidP="0056238E">
      <w:pPr>
        <w:overflowPunct/>
        <w:spacing w:before="100" w:beforeAutospacing="1" w:line="360" w:lineRule="auto"/>
        <w:textAlignment w:val="auto"/>
        <w:rPr>
          <w:rFonts w:eastAsiaTheme="minorHAnsi"/>
          <w:sz w:val="26"/>
          <w:szCs w:val="26"/>
        </w:rPr>
      </w:pPr>
      <w:r>
        <w:rPr>
          <w:rFonts w:eastAsiaTheme="minorHAnsi"/>
          <w:sz w:val="26"/>
          <w:szCs w:val="26"/>
        </w:rPr>
        <w:t xml:space="preserve"> </w:t>
      </w:r>
      <w:proofErr w:type="gramStart"/>
      <w:r>
        <w:rPr>
          <w:rFonts w:eastAsiaTheme="minorHAnsi"/>
          <w:sz w:val="26"/>
          <w:szCs w:val="26"/>
        </w:rPr>
        <w:t xml:space="preserve">(PECO </w:t>
      </w:r>
      <w:r w:rsidR="0063105D">
        <w:rPr>
          <w:rFonts w:eastAsiaTheme="minorHAnsi"/>
          <w:sz w:val="26"/>
          <w:szCs w:val="26"/>
        </w:rPr>
        <w:t>C</w:t>
      </w:r>
      <w:r>
        <w:rPr>
          <w:rFonts w:eastAsiaTheme="minorHAnsi"/>
          <w:sz w:val="26"/>
          <w:szCs w:val="26"/>
        </w:rPr>
        <w:t xml:space="preserve">omments Appendix </w:t>
      </w:r>
      <w:r w:rsidR="0063105D">
        <w:rPr>
          <w:rFonts w:eastAsiaTheme="minorHAnsi"/>
          <w:sz w:val="26"/>
          <w:szCs w:val="26"/>
        </w:rPr>
        <w:t>at</w:t>
      </w:r>
      <w:r>
        <w:rPr>
          <w:rFonts w:eastAsiaTheme="minorHAnsi"/>
          <w:sz w:val="26"/>
          <w:szCs w:val="26"/>
        </w:rPr>
        <w:t xml:space="preserve"> 15</w:t>
      </w:r>
      <w:r w:rsidR="0063105D">
        <w:rPr>
          <w:rFonts w:eastAsiaTheme="minorHAnsi"/>
          <w:sz w:val="26"/>
          <w:szCs w:val="26"/>
        </w:rPr>
        <w:t>.</w:t>
      </w:r>
      <w:r>
        <w:rPr>
          <w:rFonts w:eastAsiaTheme="minorHAnsi"/>
          <w:sz w:val="26"/>
          <w:szCs w:val="26"/>
        </w:rPr>
        <w:t>)</w:t>
      </w:r>
      <w:proofErr w:type="gramEnd"/>
      <w:r w:rsidR="0063105D">
        <w:rPr>
          <w:rFonts w:eastAsiaTheme="minorHAnsi"/>
          <w:sz w:val="26"/>
          <w:szCs w:val="26"/>
        </w:rPr>
        <w:t xml:space="preserve">  </w:t>
      </w:r>
      <w:r>
        <w:rPr>
          <w:sz w:val="26"/>
          <w:szCs w:val="26"/>
        </w:rPr>
        <w:t xml:space="preserve">PECO made several additional comments with respect to Section 3.7, including comments pertaining to chiller algorithms, applicability of the chiller protocol to new construction applications, definition of terms, Table 3-25 and Table 3-26. </w:t>
      </w:r>
      <w:r w:rsidR="0063105D">
        <w:rPr>
          <w:sz w:val="26"/>
          <w:szCs w:val="26"/>
        </w:rPr>
        <w:t xml:space="preserve"> </w:t>
      </w:r>
      <w:r>
        <w:rPr>
          <w:sz w:val="26"/>
          <w:szCs w:val="26"/>
        </w:rPr>
        <w:t xml:space="preserve">(PECO </w:t>
      </w:r>
      <w:r w:rsidR="0063105D">
        <w:rPr>
          <w:sz w:val="26"/>
          <w:szCs w:val="26"/>
        </w:rPr>
        <w:t>C</w:t>
      </w:r>
      <w:r>
        <w:rPr>
          <w:sz w:val="26"/>
          <w:szCs w:val="26"/>
        </w:rPr>
        <w:t xml:space="preserve">omments Appendix </w:t>
      </w:r>
      <w:r w:rsidR="0063105D">
        <w:rPr>
          <w:sz w:val="26"/>
          <w:szCs w:val="26"/>
        </w:rPr>
        <w:t>at</w:t>
      </w:r>
      <w:r>
        <w:rPr>
          <w:sz w:val="26"/>
          <w:szCs w:val="26"/>
        </w:rPr>
        <w:t xml:space="preserve"> 17-19</w:t>
      </w:r>
      <w:r w:rsidR="0063105D">
        <w:rPr>
          <w:sz w:val="26"/>
          <w:szCs w:val="26"/>
        </w:rPr>
        <w:t>.</w:t>
      </w:r>
      <w:r>
        <w:rPr>
          <w:sz w:val="26"/>
          <w:szCs w:val="26"/>
        </w:rPr>
        <w:t>)</w:t>
      </w:r>
    </w:p>
    <w:p w:rsidR="00D00180" w:rsidRPr="00EB3F80" w:rsidRDefault="00D00180" w:rsidP="00D00180">
      <w:pPr>
        <w:overflowPunct/>
        <w:spacing w:line="360" w:lineRule="auto"/>
        <w:textAlignment w:val="auto"/>
        <w:rPr>
          <w:sz w:val="26"/>
          <w:szCs w:val="26"/>
        </w:rPr>
      </w:pPr>
    </w:p>
    <w:p w:rsidR="00844100" w:rsidRDefault="009F34FE">
      <w:pPr>
        <w:pStyle w:val="ListParagraph"/>
        <w:overflowPunct/>
        <w:spacing w:line="360" w:lineRule="auto"/>
        <w:ind w:left="0" w:firstLine="720"/>
        <w:textAlignment w:val="auto"/>
        <w:rPr>
          <w:rFonts w:eastAsiaTheme="minorHAnsi"/>
          <w:sz w:val="26"/>
          <w:szCs w:val="26"/>
        </w:rPr>
      </w:pPr>
      <w:r>
        <w:rPr>
          <w:rFonts w:eastAsiaTheme="minorHAnsi"/>
          <w:sz w:val="26"/>
          <w:szCs w:val="26"/>
        </w:rPr>
        <w:t>FirstEnergy commented that the label “Space Type” in Table 3-26 should be renamed “Building Type” to avoid confusion.</w:t>
      </w:r>
      <w:r w:rsidR="0063105D">
        <w:rPr>
          <w:rFonts w:eastAsiaTheme="minorHAnsi"/>
          <w:sz w:val="26"/>
          <w:szCs w:val="26"/>
        </w:rPr>
        <w:t xml:space="preserve"> </w:t>
      </w:r>
      <w:r>
        <w:rPr>
          <w:rFonts w:eastAsiaTheme="minorHAnsi"/>
          <w:sz w:val="26"/>
          <w:szCs w:val="26"/>
        </w:rPr>
        <w:t xml:space="preserve"> </w:t>
      </w:r>
      <w:proofErr w:type="gramStart"/>
      <w:r>
        <w:rPr>
          <w:rFonts w:eastAsiaTheme="minorHAnsi"/>
          <w:sz w:val="26"/>
          <w:szCs w:val="26"/>
        </w:rPr>
        <w:t xml:space="preserve">(FirstEnergy </w:t>
      </w:r>
      <w:r w:rsidR="0063105D">
        <w:rPr>
          <w:rFonts w:eastAsiaTheme="minorHAnsi"/>
          <w:sz w:val="26"/>
          <w:szCs w:val="26"/>
        </w:rPr>
        <w:t>C</w:t>
      </w:r>
      <w:r>
        <w:rPr>
          <w:rFonts w:eastAsiaTheme="minorHAnsi"/>
          <w:sz w:val="26"/>
          <w:szCs w:val="26"/>
        </w:rPr>
        <w:t>omments at 16</w:t>
      </w:r>
      <w:r w:rsidR="0063105D">
        <w:rPr>
          <w:rFonts w:eastAsiaTheme="minorHAnsi"/>
          <w:sz w:val="26"/>
          <w:szCs w:val="26"/>
        </w:rPr>
        <w:t>.</w:t>
      </w:r>
      <w:r>
        <w:rPr>
          <w:rFonts w:eastAsiaTheme="minorHAnsi"/>
          <w:sz w:val="26"/>
          <w:szCs w:val="26"/>
        </w:rPr>
        <w:t>)</w:t>
      </w:r>
      <w:proofErr w:type="gramEnd"/>
    </w:p>
    <w:p w:rsidR="001107E8" w:rsidRPr="00EB3F80" w:rsidRDefault="001107E8" w:rsidP="00D00180">
      <w:pPr>
        <w:overflowPunct/>
        <w:spacing w:line="360" w:lineRule="auto"/>
        <w:textAlignment w:val="auto"/>
        <w:rPr>
          <w:sz w:val="26"/>
          <w:szCs w:val="26"/>
        </w:rPr>
      </w:pPr>
    </w:p>
    <w:p w:rsidR="00D00180" w:rsidRPr="0063105D" w:rsidRDefault="009F34FE" w:rsidP="0052550D">
      <w:pPr>
        <w:pStyle w:val="ListParagraph"/>
        <w:numPr>
          <w:ilvl w:val="2"/>
          <w:numId w:val="7"/>
        </w:numPr>
        <w:overflowPunct/>
        <w:spacing w:line="360" w:lineRule="auto"/>
        <w:ind w:left="2880" w:hanging="720"/>
        <w:textAlignment w:val="auto"/>
        <w:rPr>
          <w:b/>
          <w:sz w:val="26"/>
          <w:szCs w:val="26"/>
        </w:rPr>
      </w:pPr>
      <w:r w:rsidRPr="0063105D">
        <w:rPr>
          <w:b/>
          <w:sz w:val="26"/>
          <w:szCs w:val="26"/>
        </w:rPr>
        <w:t>Disposition</w:t>
      </w:r>
    </w:p>
    <w:p w:rsidR="00D00180" w:rsidRPr="00EB3F80" w:rsidRDefault="00D00180" w:rsidP="00D00180">
      <w:pPr>
        <w:overflowPunct/>
        <w:spacing w:line="360" w:lineRule="auto"/>
        <w:textAlignment w:val="auto"/>
        <w:rPr>
          <w:sz w:val="26"/>
          <w:szCs w:val="26"/>
        </w:rPr>
      </w:pPr>
    </w:p>
    <w:p w:rsidR="00F9588B" w:rsidRDefault="009F34FE" w:rsidP="006749C8">
      <w:pPr>
        <w:overflowPunct/>
        <w:spacing w:line="360" w:lineRule="auto"/>
        <w:ind w:firstLine="720"/>
        <w:textAlignment w:val="auto"/>
        <w:rPr>
          <w:sz w:val="26"/>
          <w:szCs w:val="26"/>
        </w:rPr>
      </w:pPr>
      <w:r>
        <w:rPr>
          <w:sz w:val="26"/>
          <w:szCs w:val="26"/>
        </w:rPr>
        <w:t xml:space="preserve">The Commission accepts PECO’s </w:t>
      </w:r>
      <w:r w:rsidR="0056238E">
        <w:rPr>
          <w:sz w:val="26"/>
          <w:szCs w:val="26"/>
        </w:rPr>
        <w:t>suggestion</w:t>
      </w:r>
      <w:r>
        <w:rPr>
          <w:sz w:val="26"/>
          <w:szCs w:val="26"/>
        </w:rPr>
        <w:t xml:space="preserve"> to modify Section 3.7.  In the TRM, Section 3.7, the first sentence of the introductory paragraph has been modified according to PECO’s recommendation, thereby clarifying that the chiller protocol estimates savings between high efficiency</w:t>
      </w:r>
      <w:r w:rsidR="003F7331">
        <w:rPr>
          <w:sz w:val="26"/>
          <w:szCs w:val="26"/>
        </w:rPr>
        <w:t xml:space="preserve"> electric chillers</w:t>
      </w:r>
      <w:r>
        <w:rPr>
          <w:sz w:val="26"/>
          <w:szCs w:val="26"/>
        </w:rPr>
        <w:t xml:space="preserve"> and chillers that meet minimum performance allowed by PA Energy Code.  Additionally, to clarify which chiller applications must follow a site specific custom protocol, the last paragraph of the introductory section of Section 3.7 has been modified to read</w:t>
      </w:r>
      <w:r w:rsidR="0056238E">
        <w:rPr>
          <w:sz w:val="26"/>
          <w:szCs w:val="26"/>
        </w:rPr>
        <w:t xml:space="preserve"> as follows:</w:t>
      </w:r>
      <w:r>
        <w:rPr>
          <w:sz w:val="26"/>
          <w:szCs w:val="26"/>
        </w:rPr>
        <w:t xml:space="preserve"> </w:t>
      </w:r>
      <w:r w:rsidR="0056238E">
        <w:rPr>
          <w:sz w:val="26"/>
          <w:szCs w:val="26"/>
        </w:rPr>
        <w:t xml:space="preserve"> </w:t>
      </w:r>
    </w:p>
    <w:p w:rsidR="00F9588B" w:rsidRDefault="009F34FE" w:rsidP="00F9588B">
      <w:pPr>
        <w:overflowPunct/>
        <w:spacing w:before="100" w:beforeAutospacing="1"/>
        <w:ind w:left="720" w:right="720"/>
        <w:textAlignment w:val="auto"/>
        <w:rPr>
          <w:sz w:val="26"/>
          <w:szCs w:val="26"/>
        </w:rPr>
      </w:pPr>
      <w:r>
        <w:rPr>
          <w:sz w:val="26"/>
          <w:szCs w:val="26"/>
        </w:rPr>
        <w:t>All other chiller applications, including existing multiple chiller configurations, existing chillers with Variable Frequency Drives (VFDs), and existing chillers serving multiple load groups, and chillers in industrial applications are defined as non-standard applications and must follow a site specific custom protocol</w:t>
      </w:r>
      <w:r w:rsidR="008870A1">
        <w:rPr>
          <w:sz w:val="26"/>
          <w:szCs w:val="26"/>
        </w:rPr>
        <w:t>.</w:t>
      </w:r>
    </w:p>
    <w:p w:rsidR="00DC00B2" w:rsidRPr="00EB3F80" w:rsidRDefault="008870A1" w:rsidP="00F9588B">
      <w:pPr>
        <w:overflowPunct/>
        <w:spacing w:before="100" w:beforeAutospacing="1" w:line="360" w:lineRule="auto"/>
        <w:textAlignment w:val="auto"/>
        <w:rPr>
          <w:sz w:val="26"/>
          <w:szCs w:val="26"/>
        </w:rPr>
      </w:pPr>
      <w:r>
        <w:rPr>
          <w:sz w:val="26"/>
          <w:szCs w:val="26"/>
        </w:rPr>
        <w:lastRenderedPageBreak/>
        <w:t>T</w:t>
      </w:r>
      <w:r w:rsidR="009F34FE">
        <w:rPr>
          <w:sz w:val="26"/>
          <w:szCs w:val="26"/>
        </w:rPr>
        <w:t xml:space="preserve">he second sentence of the last paragraph of the introductory section </w:t>
      </w:r>
      <w:r>
        <w:rPr>
          <w:sz w:val="26"/>
          <w:szCs w:val="26"/>
        </w:rPr>
        <w:t>has been modified</w:t>
      </w:r>
      <w:r w:rsidR="00F9588B">
        <w:rPr>
          <w:sz w:val="26"/>
          <w:szCs w:val="26"/>
        </w:rPr>
        <w:t xml:space="preserve"> as well</w:t>
      </w:r>
      <w:r w:rsidR="009F34FE">
        <w:rPr>
          <w:sz w:val="26"/>
          <w:szCs w:val="26"/>
        </w:rPr>
        <w:t>.</w:t>
      </w:r>
      <w:r>
        <w:rPr>
          <w:sz w:val="26"/>
          <w:szCs w:val="26"/>
        </w:rPr>
        <w:t xml:space="preserve"> </w:t>
      </w:r>
      <w:r w:rsidR="009F34FE">
        <w:rPr>
          <w:sz w:val="26"/>
          <w:szCs w:val="26"/>
        </w:rPr>
        <w:t xml:space="preserve"> Furthermore, to provide a level of assurance of proper chiller sizing in situations where chiller savings are determined using prescriptive algorithms</w:t>
      </w:r>
      <w:r w:rsidR="00033497">
        <w:rPr>
          <w:sz w:val="26"/>
          <w:szCs w:val="26"/>
        </w:rPr>
        <w:t>,</w:t>
      </w:r>
      <w:r w:rsidR="009F34FE">
        <w:rPr>
          <w:sz w:val="26"/>
          <w:szCs w:val="26"/>
        </w:rPr>
        <w:t xml:space="preserve"> the last sentence of the first paragraph of the introductory section of Section 3.7 has been modified</w:t>
      </w:r>
      <w:r w:rsidR="00F9588B">
        <w:rPr>
          <w:sz w:val="26"/>
          <w:szCs w:val="26"/>
        </w:rPr>
        <w:t xml:space="preserve"> accordingly</w:t>
      </w:r>
      <w:r w:rsidR="009F34FE">
        <w:rPr>
          <w:sz w:val="26"/>
          <w:szCs w:val="26"/>
        </w:rPr>
        <w:t>.</w:t>
      </w:r>
      <w:r w:rsidR="009F34FE">
        <w:rPr>
          <w:b/>
          <w:sz w:val="26"/>
          <w:szCs w:val="26"/>
        </w:rPr>
        <w:t xml:space="preserve"> </w:t>
      </w:r>
    </w:p>
    <w:p w:rsidR="00DC00B2" w:rsidRPr="00EB3F80" w:rsidRDefault="00DC00B2" w:rsidP="00DC00B2">
      <w:pPr>
        <w:overflowPunct/>
        <w:spacing w:line="360" w:lineRule="auto"/>
        <w:textAlignment w:val="auto"/>
        <w:rPr>
          <w:b/>
          <w:sz w:val="26"/>
          <w:szCs w:val="26"/>
        </w:rPr>
      </w:pPr>
    </w:p>
    <w:p w:rsidR="00810815" w:rsidRPr="00EB3F80" w:rsidRDefault="001B7D44" w:rsidP="00F91662">
      <w:pPr>
        <w:pStyle w:val="p3"/>
        <w:tabs>
          <w:tab w:val="clear" w:pos="204"/>
          <w:tab w:val="left" w:pos="720"/>
        </w:tabs>
        <w:spacing w:line="360" w:lineRule="auto"/>
        <w:rPr>
          <w:sz w:val="26"/>
          <w:szCs w:val="26"/>
        </w:rPr>
      </w:pPr>
      <w:r w:rsidRPr="00EB3F80">
        <w:rPr>
          <w:sz w:val="26"/>
          <w:szCs w:val="26"/>
        </w:rPr>
        <w:tab/>
      </w:r>
      <w:r w:rsidR="001107E8" w:rsidRPr="00EB3F80">
        <w:rPr>
          <w:sz w:val="26"/>
          <w:szCs w:val="26"/>
        </w:rPr>
        <w:t xml:space="preserve">The </w:t>
      </w:r>
      <w:r w:rsidR="00810815" w:rsidRPr="00EB3F80">
        <w:rPr>
          <w:sz w:val="26"/>
          <w:szCs w:val="26"/>
        </w:rPr>
        <w:t>Commission</w:t>
      </w:r>
      <w:r w:rsidR="001107E8" w:rsidRPr="00EB3F80">
        <w:rPr>
          <w:sz w:val="26"/>
          <w:szCs w:val="26"/>
        </w:rPr>
        <w:t xml:space="preserve"> </w:t>
      </w:r>
      <w:r w:rsidR="000622C0" w:rsidRPr="00EB3F80">
        <w:rPr>
          <w:sz w:val="26"/>
          <w:szCs w:val="26"/>
        </w:rPr>
        <w:t>accepts FirstEnergy’s recommendation to rename</w:t>
      </w:r>
      <w:r w:rsidR="001107E8" w:rsidRPr="00EB3F80">
        <w:rPr>
          <w:sz w:val="26"/>
          <w:szCs w:val="26"/>
        </w:rPr>
        <w:t xml:space="preserve"> </w:t>
      </w:r>
      <w:r w:rsidR="006B2719" w:rsidRPr="00EB3F80">
        <w:rPr>
          <w:sz w:val="26"/>
          <w:szCs w:val="26"/>
        </w:rPr>
        <w:t xml:space="preserve">the header of the first column </w:t>
      </w:r>
      <w:r w:rsidR="000622C0" w:rsidRPr="00EB3F80">
        <w:rPr>
          <w:sz w:val="26"/>
          <w:szCs w:val="26"/>
        </w:rPr>
        <w:t xml:space="preserve">in </w:t>
      </w:r>
      <w:r w:rsidR="001107E8" w:rsidRPr="00EB3F80">
        <w:rPr>
          <w:sz w:val="26"/>
          <w:szCs w:val="26"/>
        </w:rPr>
        <w:t>Table 3-26</w:t>
      </w:r>
      <w:r w:rsidR="006457D1" w:rsidRPr="00EB3F80">
        <w:rPr>
          <w:sz w:val="26"/>
          <w:szCs w:val="26"/>
        </w:rPr>
        <w:t xml:space="preserve"> to provide clarification with respect to the use of the table</w:t>
      </w:r>
      <w:r w:rsidR="000622C0" w:rsidRPr="00EB3F80">
        <w:rPr>
          <w:sz w:val="26"/>
          <w:szCs w:val="26"/>
        </w:rPr>
        <w:t>.  The TRM has been updated accordingly.</w:t>
      </w:r>
    </w:p>
    <w:p w:rsidR="00DC00B2" w:rsidRPr="00EB3F80" w:rsidRDefault="00DC00B2" w:rsidP="00DC00B2">
      <w:pPr>
        <w:overflowPunct/>
        <w:spacing w:line="360" w:lineRule="auto"/>
        <w:textAlignment w:val="auto"/>
        <w:rPr>
          <w:b/>
          <w:sz w:val="26"/>
          <w:szCs w:val="26"/>
        </w:rPr>
      </w:pPr>
    </w:p>
    <w:p w:rsidR="0004773F" w:rsidRDefault="00DC00B2" w:rsidP="00EF68E7">
      <w:pPr>
        <w:overflowPunct/>
        <w:spacing w:line="360" w:lineRule="auto"/>
        <w:ind w:firstLine="720"/>
        <w:textAlignment w:val="auto"/>
        <w:rPr>
          <w:sz w:val="26"/>
          <w:szCs w:val="26"/>
        </w:rPr>
      </w:pPr>
      <w:r w:rsidRPr="00EB3F80">
        <w:rPr>
          <w:sz w:val="26"/>
          <w:szCs w:val="26"/>
        </w:rPr>
        <w:t>Regarding other changes relating to algorithms, new construction, definition</w:t>
      </w:r>
      <w:r w:rsidR="001B7D44" w:rsidRPr="00EB3F80">
        <w:rPr>
          <w:sz w:val="26"/>
          <w:szCs w:val="26"/>
        </w:rPr>
        <w:t>s</w:t>
      </w:r>
      <w:r w:rsidRPr="00EB3F80">
        <w:rPr>
          <w:sz w:val="26"/>
          <w:szCs w:val="26"/>
        </w:rPr>
        <w:t xml:space="preserve"> of terms, and Tables 3-25 and 3-26, the Commission </w:t>
      </w:r>
      <w:r w:rsidR="006B2719" w:rsidRPr="00EB3F80">
        <w:rPr>
          <w:sz w:val="26"/>
          <w:szCs w:val="26"/>
        </w:rPr>
        <w:t xml:space="preserve">adopts </w:t>
      </w:r>
      <w:r w:rsidR="00D00180" w:rsidRPr="00EB3F80">
        <w:rPr>
          <w:sz w:val="26"/>
          <w:szCs w:val="26"/>
        </w:rPr>
        <w:t xml:space="preserve">certain </w:t>
      </w:r>
      <w:r w:rsidR="006B2719" w:rsidRPr="00EB3F80">
        <w:rPr>
          <w:sz w:val="26"/>
          <w:szCs w:val="26"/>
        </w:rPr>
        <w:t xml:space="preserve">clarifying </w:t>
      </w:r>
      <w:r w:rsidR="00D00180" w:rsidRPr="00EB3F80">
        <w:rPr>
          <w:sz w:val="26"/>
          <w:szCs w:val="26"/>
        </w:rPr>
        <w:t xml:space="preserve">modifications to Section 3.7, </w:t>
      </w:r>
      <w:r w:rsidR="006B2719" w:rsidRPr="00EB3F80">
        <w:rPr>
          <w:sz w:val="26"/>
          <w:szCs w:val="26"/>
        </w:rPr>
        <w:t xml:space="preserve">including: </w:t>
      </w:r>
    </w:p>
    <w:p w:rsidR="00D00180" w:rsidRPr="00EB3F80" w:rsidRDefault="00D00180" w:rsidP="00EF68E7">
      <w:pPr>
        <w:overflowPunct/>
        <w:spacing w:line="360" w:lineRule="auto"/>
        <w:ind w:firstLine="720"/>
        <w:textAlignment w:val="auto"/>
        <w:rPr>
          <w:sz w:val="26"/>
          <w:szCs w:val="26"/>
        </w:rPr>
      </w:pPr>
    </w:p>
    <w:p w:rsidR="006B2719" w:rsidRPr="00EB3F80" w:rsidRDefault="006B2719" w:rsidP="00F9588B">
      <w:pPr>
        <w:pStyle w:val="ListParagraph"/>
        <w:numPr>
          <w:ilvl w:val="0"/>
          <w:numId w:val="11"/>
        </w:numPr>
        <w:overflowPunct/>
        <w:textAlignment w:val="auto"/>
        <w:rPr>
          <w:sz w:val="26"/>
          <w:szCs w:val="26"/>
        </w:rPr>
      </w:pPr>
      <w:r w:rsidRPr="00EB3F80">
        <w:rPr>
          <w:sz w:val="26"/>
          <w:szCs w:val="26"/>
        </w:rPr>
        <w:t>Changes to clarify variables and operations within the ∆kWh and ∆kW formulas</w:t>
      </w:r>
      <w:r w:rsidR="008870A1">
        <w:rPr>
          <w:sz w:val="26"/>
          <w:szCs w:val="26"/>
        </w:rPr>
        <w:t>;</w:t>
      </w:r>
    </w:p>
    <w:p w:rsidR="006B2719" w:rsidRPr="00EB3F80" w:rsidRDefault="006B2719" w:rsidP="00F9588B">
      <w:pPr>
        <w:pStyle w:val="ListParagraph"/>
        <w:numPr>
          <w:ilvl w:val="0"/>
          <w:numId w:val="11"/>
        </w:numPr>
        <w:overflowPunct/>
        <w:textAlignment w:val="auto"/>
        <w:rPr>
          <w:sz w:val="26"/>
          <w:szCs w:val="26"/>
        </w:rPr>
      </w:pPr>
      <w:r w:rsidRPr="00EB3F80">
        <w:rPr>
          <w:sz w:val="26"/>
          <w:szCs w:val="26"/>
        </w:rPr>
        <w:t>Additional verbiage within</w:t>
      </w:r>
      <w:r w:rsidR="00B616C2" w:rsidRPr="00EB3F80">
        <w:rPr>
          <w:sz w:val="26"/>
          <w:szCs w:val="26"/>
        </w:rPr>
        <w:t xml:space="preserve"> </w:t>
      </w:r>
      <w:r w:rsidR="004561D2">
        <w:rPr>
          <w:sz w:val="26"/>
          <w:szCs w:val="26"/>
        </w:rPr>
        <w:t xml:space="preserve">the </w:t>
      </w:r>
      <w:r w:rsidR="00B616C2" w:rsidRPr="00EB3F80">
        <w:rPr>
          <w:sz w:val="26"/>
          <w:szCs w:val="26"/>
        </w:rPr>
        <w:t>integrated part load value</w:t>
      </w:r>
      <w:r w:rsidRPr="00EB3F80">
        <w:rPr>
          <w:sz w:val="26"/>
          <w:szCs w:val="26"/>
        </w:rPr>
        <w:t xml:space="preserve"> </w:t>
      </w:r>
      <w:r w:rsidR="00B616C2" w:rsidRPr="00EB3F80">
        <w:rPr>
          <w:sz w:val="26"/>
          <w:szCs w:val="26"/>
        </w:rPr>
        <w:t>(“</w:t>
      </w:r>
      <w:r w:rsidRPr="00EB3F80">
        <w:rPr>
          <w:sz w:val="26"/>
          <w:szCs w:val="26"/>
        </w:rPr>
        <w:t>IPLV</w:t>
      </w:r>
      <w:r w:rsidR="00B616C2" w:rsidRPr="00EB3F80">
        <w:rPr>
          <w:sz w:val="26"/>
          <w:szCs w:val="26"/>
        </w:rPr>
        <w:t>”)</w:t>
      </w:r>
      <w:r w:rsidRPr="00EB3F80">
        <w:rPr>
          <w:sz w:val="26"/>
          <w:szCs w:val="26"/>
        </w:rPr>
        <w:t xml:space="preserve"> definition to clarify</w:t>
      </w:r>
      <w:r w:rsidR="004561D2">
        <w:rPr>
          <w:sz w:val="26"/>
          <w:szCs w:val="26"/>
        </w:rPr>
        <w:t xml:space="preserve"> that the</w:t>
      </w:r>
      <w:r w:rsidRPr="00EB3F80">
        <w:rPr>
          <w:sz w:val="26"/>
          <w:szCs w:val="26"/>
        </w:rPr>
        <w:t xml:space="preserve"> chiller IPLV is to be in accordance with </w:t>
      </w:r>
      <w:r w:rsidR="00B616C2" w:rsidRPr="00EB3F80">
        <w:rPr>
          <w:sz w:val="26"/>
          <w:szCs w:val="26"/>
        </w:rPr>
        <w:t>Air-Conditioning and Refrigeration Institute (“</w:t>
      </w:r>
      <w:r w:rsidRPr="00EB3F80">
        <w:rPr>
          <w:sz w:val="26"/>
          <w:szCs w:val="26"/>
        </w:rPr>
        <w:t>ARI</w:t>
      </w:r>
      <w:r w:rsidR="00B616C2" w:rsidRPr="00EB3F80">
        <w:rPr>
          <w:sz w:val="26"/>
          <w:szCs w:val="26"/>
        </w:rPr>
        <w:t>”)</w:t>
      </w:r>
      <w:r w:rsidRPr="00EB3F80">
        <w:rPr>
          <w:sz w:val="26"/>
          <w:szCs w:val="26"/>
        </w:rPr>
        <w:t xml:space="preserve"> Standards</w:t>
      </w:r>
      <w:r w:rsidR="00391D40">
        <w:rPr>
          <w:sz w:val="26"/>
          <w:szCs w:val="26"/>
        </w:rPr>
        <w:t>;</w:t>
      </w:r>
    </w:p>
    <w:p w:rsidR="006B2719" w:rsidRPr="00EB3F80" w:rsidRDefault="006B2719" w:rsidP="00F9588B">
      <w:pPr>
        <w:pStyle w:val="ListParagraph"/>
        <w:numPr>
          <w:ilvl w:val="0"/>
          <w:numId w:val="11"/>
        </w:numPr>
        <w:overflowPunct/>
        <w:textAlignment w:val="auto"/>
        <w:rPr>
          <w:sz w:val="26"/>
          <w:szCs w:val="26"/>
        </w:rPr>
      </w:pPr>
      <w:r w:rsidRPr="00EB3F80">
        <w:rPr>
          <w:sz w:val="26"/>
          <w:szCs w:val="26"/>
        </w:rPr>
        <w:t>Definition of the variable CF</w:t>
      </w:r>
      <w:r w:rsidR="00391D40">
        <w:rPr>
          <w:sz w:val="26"/>
          <w:szCs w:val="26"/>
        </w:rPr>
        <w:t>;</w:t>
      </w:r>
      <w:r w:rsidRPr="00EB3F80">
        <w:rPr>
          <w:sz w:val="26"/>
          <w:szCs w:val="26"/>
        </w:rPr>
        <w:t xml:space="preserve"> and</w:t>
      </w:r>
    </w:p>
    <w:p w:rsidR="006B2719" w:rsidRPr="00EB3F80" w:rsidRDefault="006B2719" w:rsidP="00F9588B">
      <w:pPr>
        <w:pStyle w:val="ListParagraph"/>
        <w:numPr>
          <w:ilvl w:val="0"/>
          <w:numId w:val="11"/>
        </w:numPr>
        <w:overflowPunct/>
        <w:textAlignment w:val="auto"/>
        <w:rPr>
          <w:sz w:val="26"/>
          <w:szCs w:val="26"/>
        </w:rPr>
      </w:pPr>
      <w:r w:rsidRPr="00EB3F80">
        <w:rPr>
          <w:sz w:val="26"/>
          <w:szCs w:val="26"/>
        </w:rPr>
        <w:t xml:space="preserve">Verbiage added to </w:t>
      </w:r>
      <w:r w:rsidR="00DC7E10">
        <w:rPr>
          <w:sz w:val="26"/>
          <w:szCs w:val="26"/>
        </w:rPr>
        <w:t>the equivalent full load hour (“</w:t>
      </w:r>
      <w:r w:rsidRPr="00EB3F80">
        <w:rPr>
          <w:sz w:val="26"/>
          <w:szCs w:val="26"/>
        </w:rPr>
        <w:t>EFLH</w:t>
      </w:r>
      <w:r w:rsidR="00DC7E10">
        <w:rPr>
          <w:sz w:val="26"/>
          <w:szCs w:val="26"/>
        </w:rPr>
        <w:t>”)</w:t>
      </w:r>
      <w:r w:rsidRPr="00EB3F80">
        <w:rPr>
          <w:sz w:val="26"/>
          <w:szCs w:val="26"/>
        </w:rPr>
        <w:t xml:space="preserve"> definition referencing Table 3-26 to determine the most appropriate EFLH value</w:t>
      </w:r>
      <w:r w:rsidR="008870A1">
        <w:rPr>
          <w:sz w:val="26"/>
          <w:szCs w:val="26"/>
        </w:rPr>
        <w:t>.</w:t>
      </w:r>
      <w:r w:rsidRPr="00EB3F80">
        <w:rPr>
          <w:sz w:val="26"/>
          <w:szCs w:val="26"/>
        </w:rPr>
        <w:t xml:space="preserve"> </w:t>
      </w:r>
    </w:p>
    <w:p w:rsidR="006B2719" w:rsidRPr="00EB3F80" w:rsidRDefault="006B2719" w:rsidP="00EF68E7">
      <w:pPr>
        <w:overflowPunct/>
        <w:spacing w:line="360" w:lineRule="auto"/>
        <w:ind w:firstLine="720"/>
        <w:textAlignment w:val="auto"/>
        <w:rPr>
          <w:sz w:val="26"/>
          <w:szCs w:val="26"/>
        </w:rPr>
      </w:pPr>
    </w:p>
    <w:p w:rsidR="006B2719" w:rsidRPr="00EB3F80" w:rsidRDefault="006B2719" w:rsidP="006B2719">
      <w:pPr>
        <w:pStyle w:val="p3"/>
        <w:tabs>
          <w:tab w:val="clear" w:pos="204"/>
          <w:tab w:val="left" w:pos="720"/>
        </w:tabs>
        <w:spacing w:line="360" w:lineRule="auto"/>
        <w:rPr>
          <w:sz w:val="26"/>
          <w:szCs w:val="26"/>
        </w:rPr>
      </w:pPr>
      <w:r w:rsidRPr="00EB3F80">
        <w:rPr>
          <w:sz w:val="26"/>
          <w:szCs w:val="26"/>
        </w:rPr>
        <w:tab/>
        <w:t xml:space="preserve">The Commission refers other clarification type comments to the </w:t>
      </w:r>
      <w:r w:rsidR="00B83D07" w:rsidRPr="00EB3F80">
        <w:rPr>
          <w:sz w:val="26"/>
          <w:szCs w:val="26"/>
        </w:rPr>
        <w:t>TWG</w:t>
      </w:r>
      <w:r w:rsidRPr="00EB3F80">
        <w:rPr>
          <w:sz w:val="26"/>
          <w:szCs w:val="26"/>
        </w:rPr>
        <w:t xml:space="preserve"> for </w:t>
      </w:r>
      <w:r w:rsidR="003B3D8F">
        <w:rPr>
          <w:sz w:val="26"/>
          <w:szCs w:val="26"/>
        </w:rPr>
        <w:t>discussion</w:t>
      </w:r>
      <w:r w:rsidRPr="00EB3F80">
        <w:rPr>
          <w:sz w:val="26"/>
          <w:szCs w:val="26"/>
        </w:rPr>
        <w:t xml:space="preserve"> and </w:t>
      </w:r>
      <w:r w:rsidR="00F9588B">
        <w:rPr>
          <w:sz w:val="26"/>
          <w:szCs w:val="26"/>
        </w:rPr>
        <w:t xml:space="preserve">possible </w:t>
      </w:r>
      <w:r w:rsidR="002F1CC4">
        <w:rPr>
          <w:sz w:val="26"/>
          <w:szCs w:val="26"/>
        </w:rPr>
        <w:t>recommendations</w:t>
      </w:r>
      <w:r w:rsidR="00391D40">
        <w:rPr>
          <w:sz w:val="26"/>
          <w:szCs w:val="26"/>
        </w:rPr>
        <w:t xml:space="preserve"> for future TRM updates</w:t>
      </w:r>
      <w:r w:rsidRPr="00EB3F80">
        <w:rPr>
          <w:sz w:val="26"/>
          <w:szCs w:val="26"/>
        </w:rPr>
        <w:t xml:space="preserve">. </w:t>
      </w:r>
    </w:p>
    <w:p w:rsidR="006B2719" w:rsidRDefault="006B2719" w:rsidP="00EF68E7">
      <w:pPr>
        <w:overflowPunct/>
        <w:spacing w:line="360" w:lineRule="auto"/>
        <w:ind w:firstLine="720"/>
        <w:textAlignment w:val="auto"/>
        <w:rPr>
          <w:sz w:val="26"/>
          <w:szCs w:val="26"/>
        </w:rPr>
      </w:pPr>
    </w:p>
    <w:p w:rsidR="00D66700" w:rsidRDefault="00D66700" w:rsidP="00EF68E7">
      <w:pPr>
        <w:overflowPunct/>
        <w:spacing w:line="360" w:lineRule="auto"/>
        <w:ind w:firstLine="720"/>
        <w:textAlignment w:val="auto"/>
        <w:rPr>
          <w:sz w:val="26"/>
          <w:szCs w:val="26"/>
        </w:rPr>
      </w:pPr>
    </w:p>
    <w:p w:rsidR="00D66700" w:rsidRDefault="00D66700" w:rsidP="00EF68E7">
      <w:pPr>
        <w:overflowPunct/>
        <w:spacing w:line="360" w:lineRule="auto"/>
        <w:ind w:firstLine="720"/>
        <w:textAlignment w:val="auto"/>
        <w:rPr>
          <w:sz w:val="26"/>
          <w:szCs w:val="26"/>
        </w:rPr>
      </w:pPr>
    </w:p>
    <w:p w:rsidR="00D66700" w:rsidRDefault="00D66700" w:rsidP="00EF68E7">
      <w:pPr>
        <w:overflowPunct/>
        <w:spacing w:line="360" w:lineRule="auto"/>
        <w:ind w:firstLine="720"/>
        <w:textAlignment w:val="auto"/>
        <w:rPr>
          <w:sz w:val="26"/>
          <w:szCs w:val="26"/>
        </w:rPr>
      </w:pPr>
    </w:p>
    <w:p w:rsidR="00D66700" w:rsidRDefault="00D66700" w:rsidP="00EF68E7">
      <w:pPr>
        <w:overflowPunct/>
        <w:spacing w:line="360" w:lineRule="auto"/>
        <w:ind w:firstLine="720"/>
        <w:textAlignment w:val="auto"/>
        <w:rPr>
          <w:sz w:val="26"/>
          <w:szCs w:val="26"/>
        </w:rPr>
      </w:pPr>
    </w:p>
    <w:p w:rsidR="00D66700" w:rsidRDefault="00D66700" w:rsidP="00EF68E7">
      <w:pPr>
        <w:overflowPunct/>
        <w:spacing w:line="360" w:lineRule="auto"/>
        <w:ind w:firstLine="720"/>
        <w:textAlignment w:val="auto"/>
        <w:rPr>
          <w:sz w:val="26"/>
          <w:szCs w:val="26"/>
        </w:rPr>
      </w:pPr>
    </w:p>
    <w:p w:rsidR="00D00180" w:rsidRPr="00EB3F80" w:rsidRDefault="00D00180" w:rsidP="0052550D">
      <w:pPr>
        <w:pStyle w:val="ListParagraph"/>
        <w:numPr>
          <w:ilvl w:val="0"/>
          <w:numId w:val="10"/>
        </w:numPr>
        <w:spacing w:line="360" w:lineRule="auto"/>
        <w:ind w:left="2160" w:hanging="720"/>
        <w:rPr>
          <w:b/>
          <w:sz w:val="26"/>
          <w:szCs w:val="26"/>
        </w:rPr>
      </w:pPr>
      <w:r w:rsidRPr="00EB3F80">
        <w:rPr>
          <w:b/>
          <w:sz w:val="26"/>
          <w:szCs w:val="26"/>
        </w:rPr>
        <w:lastRenderedPageBreak/>
        <w:t>Review of Chiller Baseline Efficiencies (IECC 2009)</w:t>
      </w:r>
    </w:p>
    <w:p w:rsidR="00D00180" w:rsidRPr="00EB3F80" w:rsidRDefault="00D00180" w:rsidP="00D00180">
      <w:pPr>
        <w:overflowPunct/>
        <w:spacing w:line="360" w:lineRule="auto"/>
        <w:ind w:firstLine="720"/>
        <w:textAlignment w:val="auto"/>
        <w:rPr>
          <w:b/>
          <w:sz w:val="26"/>
          <w:szCs w:val="26"/>
        </w:rPr>
      </w:pPr>
    </w:p>
    <w:p w:rsidR="00D00180" w:rsidRPr="00391D40" w:rsidRDefault="00D00180" w:rsidP="0052550D">
      <w:pPr>
        <w:pStyle w:val="ListParagraph"/>
        <w:numPr>
          <w:ilvl w:val="0"/>
          <w:numId w:val="16"/>
        </w:numPr>
        <w:overflowPunct/>
        <w:spacing w:line="360" w:lineRule="auto"/>
        <w:ind w:left="2880" w:hanging="720"/>
        <w:textAlignment w:val="auto"/>
        <w:rPr>
          <w:b/>
          <w:sz w:val="26"/>
          <w:szCs w:val="26"/>
        </w:rPr>
      </w:pPr>
      <w:r w:rsidRPr="00391D40">
        <w:rPr>
          <w:b/>
          <w:sz w:val="26"/>
          <w:szCs w:val="26"/>
        </w:rPr>
        <w:t>Comments</w:t>
      </w:r>
    </w:p>
    <w:p w:rsidR="00D00180" w:rsidRPr="00EB3F80" w:rsidRDefault="00D00180" w:rsidP="00D00180">
      <w:pPr>
        <w:overflowPunct/>
        <w:spacing w:line="360" w:lineRule="auto"/>
        <w:textAlignment w:val="auto"/>
        <w:rPr>
          <w:rFonts w:eastAsiaTheme="minorHAnsi"/>
          <w:sz w:val="26"/>
          <w:szCs w:val="26"/>
        </w:rPr>
      </w:pPr>
    </w:p>
    <w:p w:rsidR="00D00180" w:rsidRPr="00EB3F80" w:rsidRDefault="00D00180" w:rsidP="00EF68E7">
      <w:pPr>
        <w:overflowPunct/>
        <w:spacing w:line="360" w:lineRule="auto"/>
        <w:ind w:firstLine="720"/>
        <w:textAlignment w:val="auto"/>
        <w:rPr>
          <w:rFonts w:eastAsiaTheme="minorHAnsi"/>
          <w:sz w:val="26"/>
          <w:szCs w:val="26"/>
        </w:rPr>
      </w:pPr>
      <w:r w:rsidRPr="00EB3F80">
        <w:rPr>
          <w:rFonts w:eastAsiaTheme="minorHAnsi"/>
          <w:sz w:val="26"/>
          <w:szCs w:val="26"/>
        </w:rPr>
        <w:t>PECO comment</w:t>
      </w:r>
      <w:r w:rsidR="00876E64" w:rsidRPr="00EB3F80">
        <w:rPr>
          <w:rFonts w:eastAsiaTheme="minorHAnsi"/>
          <w:sz w:val="26"/>
          <w:szCs w:val="26"/>
        </w:rPr>
        <w:t>ed</w:t>
      </w:r>
      <w:r w:rsidRPr="00EB3F80">
        <w:rPr>
          <w:rFonts w:eastAsiaTheme="minorHAnsi"/>
          <w:sz w:val="26"/>
          <w:szCs w:val="26"/>
        </w:rPr>
        <w:t xml:space="preserve"> on </w:t>
      </w:r>
      <w:r w:rsidR="00922A15" w:rsidRPr="00EB3F80">
        <w:rPr>
          <w:rFonts w:eastAsiaTheme="minorHAnsi"/>
          <w:sz w:val="26"/>
          <w:szCs w:val="26"/>
        </w:rPr>
        <w:t>the</w:t>
      </w:r>
      <w:r w:rsidRPr="00EB3F80">
        <w:rPr>
          <w:rFonts w:eastAsiaTheme="minorHAnsi"/>
          <w:sz w:val="26"/>
          <w:szCs w:val="26"/>
        </w:rPr>
        <w:t xml:space="preserve"> need for </w:t>
      </w:r>
      <w:r w:rsidR="00876E64" w:rsidRPr="00EB3F80">
        <w:rPr>
          <w:rFonts w:eastAsiaTheme="minorHAnsi"/>
          <w:sz w:val="26"/>
          <w:szCs w:val="26"/>
        </w:rPr>
        <w:t xml:space="preserve">a </w:t>
      </w:r>
      <w:r w:rsidRPr="00EB3F80">
        <w:rPr>
          <w:sz w:val="26"/>
          <w:szCs w:val="26"/>
        </w:rPr>
        <w:t>review for consistency and validation</w:t>
      </w:r>
      <w:r w:rsidR="0051647A" w:rsidRPr="00EB3F80">
        <w:rPr>
          <w:sz w:val="26"/>
          <w:szCs w:val="26"/>
        </w:rPr>
        <w:t xml:space="preserve"> of</w:t>
      </w:r>
      <w:r w:rsidRPr="00EB3F80">
        <w:rPr>
          <w:sz w:val="26"/>
          <w:szCs w:val="26"/>
        </w:rPr>
        <w:t xml:space="preserve"> the values in Table 3-25:  Electric Chiller Baseline Efficiencies (IECC 2009) against </w:t>
      </w:r>
      <w:r w:rsidR="009F34FE" w:rsidRPr="009F34FE">
        <w:rPr>
          <w:color w:val="000000"/>
          <w:sz w:val="26"/>
          <w:szCs w:val="26"/>
        </w:rPr>
        <w:t>IECC 2009 Table 503-2-3(7).  Specifically, PECO requested that</w:t>
      </w:r>
      <w:r w:rsidR="00FE792A" w:rsidRPr="00FE792A">
        <w:rPr>
          <w:color w:val="000000"/>
          <w:sz w:val="26"/>
          <w:szCs w:val="26"/>
        </w:rPr>
        <w:t xml:space="preserve"> truncation of IECC values, in addition to “primarily full load” and “primarily part load” qualifying notations and corresponding footnotes, be reconsidered.</w:t>
      </w:r>
      <w:r w:rsidR="009F34FE">
        <w:rPr>
          <w:rFonts w:eastAsiaTheme="minorHAnsi"/>
          <w:sz w:val="26"/>
          <w:szCs w:val="26"/>
        </w:rPr>
        <w:t xml:space="preserve"> </w:t>
      </w:r>
      <w:r w:rsidR="006648B4">
        <w:rPr>
          <w:rFonts w:eastAsiaTheme="minorHAnsi"/>
          <w:sz w:val="26"/>
          <w:szCs w:val="26"/>
        </w:rPr>
        <w:t xml:space="preserve"> </w:t>
      </w:r>
      <w:proofErr w:type="gramStart"/>
      <w:r w:rsidR="009F34FE">
        <w:rPr>
          <w:rFonts w:eastAsiaTheme="minorHAnsi"/>
          <w:sz w:val="26"/>
          <w:szCs w:val="26"/>
        </w:rPr>
        <w:t xml:space="preserve">(PECO </w:t>
      </w:r>
      <w:r w:rsidR="006648B4">
        <w:rPr>
          <w:rFonts w:eastAsiaTheme="minorHAnsi"/>
          <w:sz w:val="26"/>
          <w:szCs w:val="26"/>
        </w:rPr>
        <w:t>C</w:t>
      </w:r>
      <w:r w:rsidR="009F34FE">
        <w:rPr>
          <w:rFonts w:eastAsiaTheme="minorHAnsi"/>
          <w:sz w:val="26"/>
          <w:szCs w:val="26"/>
        </w:rPr>
        <w:t xml:space="preserve">omments Appendix </w:t>
      </w:r>
      <w:r w:rsidR="006648B4">
        <w:rPr>
          <w:rFonts w:eastAsiaTheme="minorHAnsi"/>
          <w:sz w:val="26"/>
          <w:szCs w:val="26"/>
        </w:rPr>
        <w:t>at</w:t>
      </w:r>
      <w:r w:rsidR="009F34FE">
        <w:rPr>
          <w:rFonts w:eastAsiaTheme="minorHAnsi"/>
          <w:sz w:val="26"/>
          <w:szCs w:val="26"/>
        </w:rPr>
        <w:t xml:space="preserve"> 17</w:t>
      </w:r>
      <w:r w:rsidR="006648B4">
        <w:rPr>
          <w:rFonts w:eastAsiaTheme="minorHAnsi"/>
          <w:sz w:val="26"/>
          <w:szCs w:val="26"/>
        </w:rPr>
        <w:t>.</w:t>
      </w:r>
      <w:r w:rsidR="009F34FE">
        <w:rPr>
          <w:rFonts w:eastAsiaTheme="minorHAnsi"/>
          <w:sz w:val="26"/>
          <w:szCs w:val="26"/>
        </w:rPr>
        <w:t>)</w:t>
      </w:r>
      <w:proofErr w:type="gramEnd"/>
    </w:p>
    <w:p w:rsidR="00D00180" w:rsidRPr="00EB3F80" w:rsidRDefault="00D00180" w:rsidP="00D00180">
      <w:pPr>
        <w:overflowPunct/>
        <w:spacing w:line="360" w:lineRule="auto"/>
        <w:textAlignment w:val="auto"/>
        <w:rPr>
          <w:rFonts w:eastAsiaTheme="minorHAnsi"/>
          <w:sz w:val="26"/>
          <w:szCs w:val="26"/>
        </w:rPr>
      </w:pPr>
    </w:p>
    <w:p w:rsidR="00D00180" w:rsidRPr="00EB3F80" w:rsidRDefault="009F34FE" w:rsidP="0052550D">
      <w:pPr>
        <w:pStyle w:val="p3"/>
        <w:numPr>
          <w:ilvl w:val="0"/>
          <w:numId w:val="16"/>
        </w:numPr>
        <w:tabs>
          <w:tab w:val="clear" w:pos="204"/>
          <w:tab w:val="left" w:pos="720"/>
        </w:tabs>
        <w:spacing w:line="360" w:lineRule="auto"/>
        <w:ind w:left="2880" w:hanging="720"/>
        <w:rPr>
          <w:b/>
          <w:sz w:val="26"/>
          <w:szCs w:val="26"/>
        </w:rPr>
      </w:pPr>
      <w:r>
        <w:rPr>
          <w:b/>
          <w:sz w:val="26"/>
          <w:szCs w:val="26"/>
        </w:rPr>
        <w:t>Disposition</w:t>
      </w:r>
    </w:p>
    <w:p w:rsidR="00D00180" w:rsidRPr="00EB3F80" w:rsidRDefault="00D00180" w:rsidP="00D00180">
      <w:pPr>
        <w:pStyle w:val="p3"/>
        <w:tabs>
          <w:tab w:val="clear" w:pos="204"/>
          <w:tab w:val="left" w:pos="720"/>
        </w:tabs>
        <w:spacing w:line="360" w:lineRule="auto"/>
        <w:rPr>
          <w:sz w:val="26"/>
          <w:szCs w:val="26"/>
        </w:rPr>
      </w:pPr>
    </w:p>
    <w:p w:rsidR="00D00180" w:rsidRPr="00EB3F80" w:rsidRDefault="009F34FE" w:rsidP="00D00180">
      <w:pPr>
        <w:pStyle w:val="p3"/>
        <w:tabs>
          <w:tab w:val="clear" w:pos="204"/>
          <w:tab w:val="left" w:pos="720"/>
        </w:tabs>
        <w:spacing w:line="360" w:lineRule="auto"/>
        <w:rPr>
          <w:sz w:val="26"/>
          <w:szCs w:val="26"/>
        </w:rPr>
      </w:pPr>
      <w:r>
        <w:rPr>
          <w:sz w:val="26"/>
          <w:szCs w:val="26"/>
        </w:rPr>
        <w:tab/>
      </w:r>
      <w:r w:rsidR="007F6AAD">
        <w:rPr>
          <w:sz w:val="26"/>
          <w:szCs w:val="26"/>
        </w:rPr>
        <w:t xml:space="preserve">The Commission agrees that the tables included in the TRM should be consistent with IECC 2009 values. </w:t>
      </w:r>
      <w:r w:rsidR="00040B20">
        <w:rPr>
          <w:sz w:val="26"/>
          <w:szCs w:val="26"/>
        </w:rPr>
        <w:t xml:space="preserve"> </w:t>
      </w:r>
      <w:r w:rsidR="007F6AAD">
        <w:rPr>
          <w:sz w:val="26"/>
          <w:szCs w:val="26"/>
        </w:rPr>
        <w:t xml:space="preserve">Where appropriate, the TRM </w:t>
      </w:r>
      <w:r w:rsidR="00040B20">
        <w:rPr>
          <w:sz w:val="26"/>
          <w:szCs w:val="26"/>
        </w:rPr>
        <w:t>has been</w:t>
      </w:r>
      <w:r w:rsidR="007F6AAD">
        <w:rPr>
          <w:sz w:val="26"/>
          <w:szCs w:val="26"/>
        </w:rPr>
        <w:t xml:space="preserve"> modified to ens</w:t>
      </w:r>
      <w:r w:rsidR="006648B4">
        <w:rPr>
          <w:sz w:val="26"/>
          <w:szCs w:val="26"/>
        </w:rPr>
        <w:t>ure adherence to the standards.</w:t>
      </w:r>
    </w:p>
    <w:p w:rsidR="00B52F8D" w:rsidRPr="00EB3F80" w:rsidRDefault="00B52F8D" w:rsidP="00D00180">
      <w:pPr>
        <w:pStyle w:val="p3"/>
        <w:tabs>
          <w:tab w:val="clear" w:pos="204"/>
          <w:tab w:val="left" w:pos="720"/>
        </w:tabs>
        <w:spacing w:line="360" w:lineRule="auto"/>
        <w:rPr>
          <w:color w:val="FF0000"/>
          <w:sz w:val="26"/>
          <w:szCs w:val="26"/>
        </w:rPr>
      </w:pPr>
    </w:p>
    <w:p w:rsidR="00D00180" w:rsidRPr="00EB3F80" w:rsidRDefault="00D00180" w:rsidP="0052550D">
      <w:pPr>
        <w:pStyle w:val="ListParagraph"/>
        <w:numPr>
          <w:ilvl w:val="0"/>
          <w:numId w:val="10"/>
        </w:numPr>
        <w:spacing w:line="360" w:lineRule="auto"/>
        <w:ind w:left="2160" w:hanging="720"/>
        <w:rPr>
          <w:b/>
          <w:sz w:val="26"/>
          <w:szCs w:val="26"/>
        </w:rPr>
      </w:pPr>
      <w:r w:rsidRPr="00EB3F80">
        <w:rPr>
          <w:b/>
          <w:sz w:val="26"/>
          <w:szCs w:val="26"/>
        </w:rPr>
        <w:t>Mapping Zip Codes to Reference Cities</w:t>
      </w:r>
    </w:p>
    <w:p w:rsidR="00D00180" w:rsidRPr="00EB3F80" w:rsidRDefault="00D00180" w:rsidP="00D00180">
      <w:pPr>
        <w:overflowPunct/>
        <w:spacing w:line="360" w:lineRule="auto"/>
        <w:ind w:firstLine="720"/>
        <w:textAlignment w:val="auto"/>
        <w:rPr>
          <w:b/>
          <w:sz w:val="26"/>
          <w:szCs w:val="26"/>
        </w:rPr>
      </w:pPr>
    </w:p>
    <w:p w:rsidR="00D00180" w:rsidRPr="006648B4" w:rsidRDefault="00D00180" w:rsidP="0052550D">
      <w:pPr>
        <w:pStyle w:val="ListParagraph"/>
        <w:numPr>
          <w:ilvl w:val="0"/>
          <w:numId w:val="17"/>
        </w:numPr>
        <w:overflowPunct/>
        <w:spacing w:line="360" w:lineRule="auto"/>
        <w:ind w:left="2880" w:hanging="720"/>
        <w:textAlignment w:val="auto"/>
        <w:rPr>
          <w:b/>
          <w:sz w:val="26"/>
          <w:szCs w:val="26"/>
        </w:rPr>
      </w:pPr>
      <w:r w:rsidRPr="006648B4">
        <w:rPr>
          <w:b/>
          <w:sz w:val="26"/>
          <w:szCs w:val="26"/>
        </w:rPr>
        <w:t>Comments</w:t>
      </w:r>
    </w:p>
    <w:p w:rsidR="00D00180" w:rsidRPr="00EB3F80" w:rsidRDefault="00D00180" w:rsidP="00D00180">
      <w:pPr>
        <w:overflowPunct/>
        <w:spacing w:line="360" w:lineRule="auto"/>
        <w:textAlignment w:val="auto"/>
        <w:rPr>
          <w:rFonts w:eastAsiaTheme="minorHAnsi"/>
          <w:sz w:val="26"/>
          <w:szCs w:val="26"/>
        </w:rPr>
      </w:pPr>
    </w:p>
    <w:p w:rsidR="00D00180" w:rsidRPr="00EB3F80" w:rsidRDefault="00D00180" w:rsidP="00EF68E7">
      <w:pPr>
        <w:overflowPunct/>
        <w:spacing w:line="360" w:lineRule="auto"/>
        <w:ind w:firstLine="720"/>
        <w:textAlignment w:val="auto"/>
        <w:rPr>
          <w:rFonts w:eastAsiaTheme="minorHAnsi"/>
          <w:sz w:val="26"/>
          <w:szCs w:val="26"/>
        </w:rPr>
      </w:pPr>
      <w:r w:rsidRPr="00EB3F80">
        <w:rPr>
          <w:rFonts w:eastAsiaTheme="minorHAnsi"/>
          <w:sz w:val="26"/>
          <w:szCs w:val="26"/>
        </w:rPr>
        <w:t>PECO suggested the need to modify Table 3-26 to reflect EFLH values based on zip code mapping</w:t>
      </w:r>
      <w:r w:rsidR="00DF7F11" w:rsidRPr="00EB3F80">
        <w:rPr>
          <w:rFonts w:eastAsiaTheme="minorHAnsi"/>
          <w:sz w:val="26"/>
          <w:szCs w:val="26"/>
        </w:rPr>
        <w:t xml:space="preserve">, which would assign each </w:t>
      </w:r>
      <w:r w:rsidR="006648B4">
        <w:rPr>
          <w:rFonts w:eastAsiaTheme="minorHAnsi"/>
          <w:sz w:val="26"/>
          <w:szCs w:val="26"/>
        </w:rPr>
        <w:t>Pennsylvania</w:t>
      </w:r>
      <w:r w:rsidR="00DF7F11" w:rsidRPr="00EB3F80">
        <w:rPr>
          <w:rFonts w:eastAsiaTheme="minorHAnsi"/>
          <w:sz w:val="26"/>
          <w:szCs w:val="26"/>
        </w:rPr>
        <w:t xml:space="preserve"> zip code to a city referenced in the table</w:t>
      </w:r>
      <w:r w:rsidRPr="00EB3F80">
        <w:rPr>
          <w:rFonts w:eastAsiaTheme="minorHAnsi"/>
          <w:sz w:val="26"/>
          <w:szCs w:val="26"/>
        </w:rPr>
        <w:t>.</w:t>
      </w:r>
      <w:r w:rsidR="00415D08" w:rsidRPr="00EB3F80">
        <w:rPr>
          <w:rFonts w:eastAsiaTheme="minorHAnsi"/>
          <w:sz w:val="26"/>
          <w:szCs w:val="26"/>
        </w:rPr>
        <w:t xml:space="preserve"> </w:t>
      </w:r>
      <w:r w:rsidR="006648B4">
        <w:rPr>
          <w:rFonts w:eastAsiaTheme="minorHAnsi"/>
          <w:sz w:val="26"/>
          <w:szCs w:val="26"/>
        </w:rPr>
        <w:t xml:space="preserve"> </w:t>
      </w:r>
      <w:proofErr w:type="gramStart"/>
      <w:r w:rsidR="00415D08" w:rsidRPr="00EB3F80">
        <w:rPr>
          <w:rFonts w:eastAsiaTheme="minorHAnsi"/>
          <w:sz w:val="26"/>
          <w:szCs w:val="26"/>
        </w:rPr>
        <w:t xml:space="preserve">(PECO </w:t>
      </w:r>
      <w:r w:rsidR="006648B4">
        <w:rPr>
          <w:rFonts w:eastAsiaTheme="minorHAnsi"/>
          <w:sz w:val="26"/>
          <w:szCs w:val="26"/>
        </w:rPr>
        <w:t>C</w:t>
      </w:r>
      <w:r w:rsidR="00415D08" w:rsidRPr="00EB3F80">
        <w:rPr>
          <w:rFonts w:eastAsiaTheme="minorHAnsi"/>
          <w:sz w:val="26"/>
          <w:szCs w:val="26"/>
        </w:rPr>
        <w:t>omments Appendix</w:t>
      </w:r>
      <w:r w:rsidR="00E1239A" w:rsidRPr="00EB3F80">
        <w:rPr>
          <w:rFonts w:eastAsiaTheme="minorHAnsi"/>
          <w:sz w:val="26"/>
          <w:szCs w:val="26"/>
        </w:rPr>
        <w:t xml:space="preserve"> </w:t>
      </w:r>
      <w:r w:rsidR="006648B4" w:rsidRPr="00EB3F80">
        <w:rPr>
          <w:rFonts w:eastAsiaTheme="minorHAnsi"/>
          <w:sz w:val="26"/>
          <w:szCs w:val="26"/>
        </w:rPr>
        <w:t>at</w:t>
      </w:r>
      <w:r w:rsidR="00415D08" w:rsidRPr="00EB3F80">
        <w:rPr>
          <w:rFonts w:eastAsiaTheme="minorHAnsi"/>
          <w:sz w:val="26"/>
          <w:szCs w:val="26"/>
        </w:rPr>
        <w:t xml:space="preserve"> 19</w:t>
      </w:r>
      <w:r w:rsidR="006648B4">
        <w:rPr>
          <w:rFonts w:eastAsiaTheme="minorHAnsi"/>
          <w:sz w:val="26"/>
          <w:szCs w:val="26"/>
        </w:rPr>
        <w:t>.</w:t>
      </w:r>
      <w:r w:rsidR="00415D08" w:rsidRPr="00EB3F80">
        <w:rPr>
          <w:rFonts w:eastAsiaTheme="minorHAnsi"/>
          <w:sz w:val="26"/>
          <w:szCs w:val="26"/>
        </w:rPr>
        <w:t>)</w:t>
      </w:r>
      <w:proofErr w:type="gramEnd"/>
    </w:p>
    <w:p w:rsidR="00D00180" w:rsidRPr="00EB3F80" w:rsidRDefault="00D00180" w:rsidP="00D00180">
      <w:pPr>
        <w:pStyle w:val="p3"/>
        <w:tabs>
          <w:tab w:val="clear" w:pos="204"/>
          <w:tab w:val="left" w:pos="720"/>
        </w:tabs>
        <w:spacing w:line="360" w:lineRule="auto"/>
        <w:rPr>
          <w:sz w:val="26"/>
          <w:szCs w:val="26"/>
        </w:rPr>
      </w:pPr>
    </w:p>
    <w:p w:rsidR="00D00180" w:rsidRPr="006648B4" w:rsidRDefault="00D00180" w:rsidP="0052550D">
      <w:pPr>
        <w:pStyle w:val="ListParagraph"/>
        <w:numPr>
          <w:ilvl w:val="0"/>
          <w:numId w:val="17"/>
        </w:numPr>
        <w:overflowPunct/>
        <w:spacing w:line="360" w:lineRule="auto"/>
        <w:ind w:left="2880" w:hanging="720"/>
        <w:textAlignment w:val="auto"/>
        <w:rPr>
          <w:b/>
          <w:sz w:val="26"/>
          <w:szCs w:val="26"/>
        </w:rPr>
      </w:pPr>
      <w:r w:rsidRPr="006648B4">
        <w:rPr>
          <w:b/>
          <w:sz w:val="26"/>
          <w:szCs w:val="26"/>
        </w:rPr>
        <w:t>Disposition</w:t>
      </w:r>
    </w:p>
    <w:p w:rsidR="00D00180" w:rsidRPr="00EB3F80" w:rsidRDefault="00D00180" w:rsidP="00D00180">
      <w:pPr>
        <w:pStyle w:val="p3"/>
        <w:tabs>
          <w:tab w:val="clear" w:pos="204"/>
          <w:tab w:val="left" w:pos="720"/>
        </w:tabs>
        <w:spacing w:line="360" w:lineRule="auto"/>
        <w:rPr>
          <w:sz w:val="26"/>
          <w:szCs w:val="26"/>
        </w:rPr>
      </w:pPr>
    </w:p>
    <w:p w:rsidR="00875C09" w:rsidRPr="00EB3F80" w:rsidRDefault="00EF68E7" w:rsidP="00875C09">
      <w:pPr>
        <w:pStyle w:val="p3"/>
        <w:tabs>
          <w:tab w:val="clear" w:pos="204"/>
          <w:tab w:val="left" w:pos="720"/>
        </w:tabs>
        <w:spacing w:line="360" w:lineRule="auto"/>
        <w:rPr>
          <w:sz w:val="26"/>
          <w:szCs w:val="26"/>
        </w:rPr>
      </w:pPr>
      <w:r w:rsidRPr="00EB3F80">
        <w:rPr>
          <w:sz w:val="26"/>
          <w:szCs w:val="26"/>
        </w:rPr>
        <w:tab/>
      </w:r>
      <w:r w:rsidR="00D00180" w:rsidRPr="00EB3F80">
        <w:rPr>
          <w:sz w:val="26"/>
          <w:szCs w:val="26"/>
        </w:rPr>
        <w:t xml:space="preserve">The </w:t>
      </w:r>
      <w:r w:rsidR="00DF7F11" w:rsidRPr="00EB3F80">
        <w:rPr>
          <w:sz w:val="26"/>
          <w:szCs w:val="26"/>
        </w:rPr>
        <w:t xml:space="preserve">Commission </w:t>
      </w:r>
      <w:r w:rsidR="00D00180" w:rsidRPr="00EB3F80">
        <w:rPr>
          <w:sz w:val="26"/>
          <w:szCs w:val="26"/>
        </w:rPr>
        <w:t>considered PECO’s suggestion</w:t>
      </w:r>
      <w:r w:rsidR="00DF7F11" w:rsidRPr="00EB3F80">
        <w:rPr>
          <w:sz w:val="26"/>
          <w:szCs w:val="26"/>
        </w:rPr>
        <w:t xml:space="preserve"> and</w:t>
      </w:r>
      <w:r w:rsidR="00922A15" w:rsidRPr="00EB3F80">
        <w:rPr>
          <w:sz w:val="26"/>
          <w:szCs w:val="26"/>
        </w:rPr>
        <w:t xml:space="preserve"> finds there may be some value in zip code mapping, however, </w:t>
      </w:r>
      <w:r w:rsidR="00495F24">
        <w:rPr>
          <w:sz w:val="26"/>
          <w:szCs w:val="26"/>
        </w:rPr>
        <w:t>time will be needed to study this issue</w:t>
      </w:r>
      <w:r w:rsidR="006B2719" w:rsidRPr="00EB3F80">
        <w:rPr>
          <w:sz w:val="26"/>
          <w:szCs w:val="26"/>
        </w:rPr>
        <w:t xml:space="preserve"> and costs</w:t>
      </w:r>
      <w:r w:rsidR="00FB180D" w:rsidRPr="00EB3F80">
        <w:rPr>
          <w:sz w:val="26"/>
          <w:szCs w:val="26"/>
        </w:rPr>
        <w:t xml:space="preserve"> associated in developing such mapping</w:t>
      </w:r>
      <w:r w:rsidR="005317CB" w:rsidRPr="00EB3F80">
        <w:rPr>
          <w:sz w:val="26"/>
          <w:szCs w:val="26"/>
        </w:rPr>
        <w:t xml:space="preserve">. </w:t>
      </w:r>
      <w:r w:rsidR="00A43DE1" w:rsidRPr="00EB3F80">
        <w:rPr>
          <w:sz w:val="26"/>
          <w:szCs w:val="26"/>
        </w:rPr>
        <w:t xml:space="preserve"> </w:t>
      </w:r>
      <w:r w:rsidR="006B2719" w:rsidRPr="00EB3F80">
        <w:rPr>
          <w:sz w:val="26"/>
          <w:szCs w:val="26"/>
        </w:rPr>
        <w:t xml:space="preserve">Since it is unclear at this time </w:t>
      </w:r>
      <w:r w:rsidR="00853957">
        <w:rPr>
          <w:sz w:val="26"/>
          <w:szCs w:val="26"/>
        </w:rPr>
        <w:t>if</w:t>
      </w:r>
      <w:r w:rsidR="006B2719" w:rsidRPr="00EB3F80">
        <w:rPr>
          <w:sz w:val="26"/>
          <w:szCs w:val="26"/>
        </w:rPr>
        <w:t xml:space="preserve"> there would be </w:t>
      </w:r>
      <w:r w:rsidR="006B2719" w:rsidRPr="00EB3F80">
        <w:rPr>
          <w:sz w:val="26"/>
          <w:szCs w:val="26"/>
        </w:rPr>
        <w:lastRenderedPageBreak/>
        <w:t>suf</w:t>
      </w:r>
      <w:r w:rsidR="009F34FE">
        <w:rPr>
          <w:sz w:val="26"/>
          <w:szCs w:val="26"/>
        </w:rPr>
        <w:t xml:space="preserve">ficient benefit to justify expending such time and </w:t>
      </w:r>
      <w:proofErr w:type="gramStart"/>
      <w:r w:rsidR="009F34FE">
        <w:rPr>
          <w:sz w:val="26"/>
          <w:szCs w:val="26"/>
        </w:rPr>
        <w:t>cost</w:t>
      </w:r>
      <w:r w:rsidR="00E91057">
        <w:rPr>
          <w:sz w:val="26"/>
          <w:szCs w:val="26"/>
        </w:rPr>
        <w:t>s</w:t>
      </w:r>
      <w:r w:rsidR="009F34FE">
        <w:rPr>
          <w:sz w:val="26"/>
          <w:szCs w:val="26"/>
        </w:rPr>
        <w:t>, the Commission refers</w:t>
      </w:r>
      <w:proofErr w:type="gramEnd"/>
      <w:r w:rsidR="009F34FE">
        <w:rPr>
          <w:sz w:val="26"/>
          <w:szCs w:val="26"/>
        </w:rPr>
        <w:t xml:space="preserve"> this issue to the TWG to discuss and provide recommendations.</w:t>
      </w:r>
    </w:p>
    <w:p w:rsidR="002F6060" w:rsidRPr="00EB3F80" w:rsidRDefault="002F6060" w:rsidP="00C74A47">
      <w:pPr>
        <w:pStyle w:val="p3"/>
        <w:tabs>
          <w:tab w:val="clear" w:pos="204"/>
          <w:tab w:val="left" w:pos="720"/>
        </w:tabs>
        <w:spacing w:line="360" w:lineRule="auto"/>
        <w:rPr>
          <w:b/>
          <w:sz w:val="26"/>
          <w:szCs w:val="26"/>
        </w:rPr>
      </w:pPr>
    </w:p>
    <w:p w:rsidR="00CB78DE" w:rsidRPr="00EB3F80" w:rsidRDefault="00CB78DE" w:rsidP="0052550D">
      <w:pPr>
        <w:pStyle w:val="p3"/>
        <w:numPr>
          <w:ilvl w:val="1"/>
          <w:numId w:val="5"/>
        </w:numPr>
        <w:tabs>
          <w:tab w:val="clear" w:pos="204"/>
          <w:tab w:val="left" w:pos="720"/>
        </w:tabs>
        <w:spacing w:line="360" w:lineRule="auto"/>
        <w:ind w:hanging="720"/>
        <w:rPr>
          <w:b/>
          <w:caps/>
          <w:sz w:val="26"/>
          <w:szCs w:val="26"/>
        </w:rPr>
      </w:pPr>
      <w:r w:rsidRPr="00EB3F80">
        <w:rPr>
          <w:b/>
          <w:caps/>
          <w:sz w:val="26"/>
          <w:szCs w:val="26"/>
        </w:rPr>
        <w:t>C</w:t>
      </w:r>
      <w:r w:rsidRPr="00EB3F80">
        <w:rPr>
          <w:b/>
          <w:sz w:val="26"/>
          <w:szCs w:val="26"/>
        </w:rPr>
        <w:t>larification of HVAC Protocols</w:t>
      </w:r>
    </w:p>
    <w:p w:rsidR="00426D4D" w:rsidRPr="00EB3F80" w:rsidRDefault="00426D4D" w:rsidP="00CB78DE">
      <w:pPr>
        <w:pStyle w:val="p3"/>
        <w:tabs>
          <w:tab w:val="clear" w:pos="204"/>
          <w:tab w:val="left" w:pos="720"/>
        </w:tabs>
        <w:spacing w:line="360" w:lineRule="auto"/>
        <w:ind w:left="1440"/>
        <w:rPr>
          <w:b/>
          <w:color w:val="FF0000"/>
          <w:sz w:val="26"/>
          <w:szCs w:val="26"/>
        </w:rPr>
      </w:pPr>
    </w:p>
    <w:p w:rsidR="004F3ECF" w:rsidRDefault="004F3ECF" w:rsidP="00CB78DE">
      <w:pPr>
        <w:pStyle w:val="p3"/>
        <w:tabs>
          <w:tab w:val="clear" w:pos="204"/>
          <w:tab w:val="left" w:pos="720"/>
        </w:tabs>
        <w:spacing w:line="360" w:lineRule="auto"/>
        <w:rPr>
          <w:sz w:val="26"/>
          <w:szCs w:val="26"/>
        </w:rPr>
      </w:pPr>
      <w:r>
        <w:rPr>
          <w:sz w:val="26"/>
          <w:szCs w:val="26"/>
        </w:rPr>
        <w:tab/>
        <w:t>The proposed 2011 TRM included clarification to the HVAC protocols to properly address heating and cooling savings for heat pumps.  The Commission sought comments on the proposed clarifications.</w:t>
      </w:r>
      <w:r w:rsidR="00EF68E7" w:rsidRPr="00EB3F80">
        <w:rPr>
          <w:sz w:val="26"/>
          <w:szCs w:val="26"/>
        </w:rPr>
        <w:tab/>
      </w:r>
    </w:p>
    <w:p w:rsidR="00426D4D" w:rsidRPr="00EB3F80" w:rsidRDefault="00CB78DE" w:rsidP="00CB78DE">
      <w:pPr>
        <w:pStyle w:val="p3"/>
        <w:tabs>
          <w:tab w:val="clear" w:pos="204"/>
          <w:tab w:val="left" w:pos="720"/>
        </w:tabs>
        <w:spacing w:line="360" w:lineRule="auto"/>
        <w:rPr>
          <w:b/>
          <w:sz w:val="26"/>
          <w:szCs w:val="26"/>
        </w:rPr>
      </w:pPr>
      <w:r w:rsidRPr="00EB3F80">
        <w:rPr>
          <w:b/>
          <w:sz w:val="26"/>
          <w:szCs w:val="26"/>
        </w:rPr>
        <w:tab/>
      </w:r>
    </w:p>
    <w:p w:rsidR="00CB78DE" w:rsidRPr="00EB3F80" w:rsidRDefault="00CB78DE" w:rsidP="0052550D">
      <w:pPr>
        <w:pStyle w:val="p3"/>
        <w:numPr>
          <w:ilvl w:val="0"/>
          <w:numId w:val="18"/>
        </w:numPr>
        <w:tabs>
          <w:tab w:val="clear" w:pos="204"/>
          <w:tab w:val="left" w:pos="720"/>
        </w:tabs>
        <w:spacing w:line="360" w:lineRule="auto"/>
        <w:ind w:left="2160" w:hanging="720"/>
        <w:rPr>
          <w:b/>
          <w:sz w:val="26"/>
          <w:szCs w:val="26"/>
        </w:rPr>
      </w:pPr>
      <w:r w:rsidRPr="00EB3F80">
        <w:rPr>
          <w:b/>
          <w:sz w:val="26"/>
          <w:szCs w:val="26"/>
        </w:rPr>
        <w:t>Comments</w:t>
      </w:r>
    </w:p>
    <w:p w:rsidR="00DC00B2" w:rsidRPr="00EB3F80" w:rsidRDefault="00DC00B2" w:rsidP="00F91662">
      <w:pPr>
        <w:pStyle w:val="p3"/>
        <w:tabs>
          <w:tab w:val="clear" w:pos="204"/>
        </w:tabs>
        <w:spacing w:line="360" w:lineRule="auto"/>
        <w:rPr>
          <w:sz w:val="26"/>
          <w:szCs w:val="26"/>
        </w:rPr>
      </w:pPr>
    </w:p>
    <w:p w:rsidR="005317CB" w:rsidRPr="00EB3F80" w:rsidRDefault="000F6CDE" w:rsidP="00F91662">
      <w:pPr>
        <w:pStyle w:val="p3"/>
        <w:tabs>
          <w:tab w:val="clear" w:pos="204"/>
        </w:tabs>
        <w:spacing w:line="360" w:lineRule="auto"/>
        <w:ind w:firstLine="720"/>
        <w:rPr>
          <w:sz w:val="26"/>
          <w:szCs w:val="26"/>
        </w:rPr>
      </w:pPr>
      <w:r w:rsidRPr="00EB3F80">
        <w:rPr>
          <w:sz w:val="26"/>
          <w:szCs w:val="26"/>
        </w:rPr>
        <w:t xml:space="preserve">Several </w:t>
      </w:r>
      <w:r w:rsidR="005A1664" w:rsidRPr="00EB3F80">
        <w:rPr>
          <w:sz w:val="26"/>
          <w:szCs w:val="26"/>
        </w:rPr>
        <w:t xml:space="preserve">of the </w:t>
      </w:r>
      <w:r w:rsidR="00E91057">
        <w:rPr>
          <w:sz w:val="26"/>
          <w:szCs w:val="26"/>
        </w:rPr>
        <w:t>Commenters</w:t>
      </w:r>
      <w:r w:rsidR="00A22B7C" w:rsidRPr="00EB3F80">
        <w:rPr>
          <w:sz w:val="26"/>
          <w:szCs w:val="26"/>
        </w:rPr>
        <w:t xml:space="preserve"> noted typo</w:t>
      </w:r>
      <w:r w:rsidR="00CF3432" w:rsidRPr="00EB3F80">
        <w:rPr>
          <w:sz w:val="26"/>
          <w:szCs w:val="26"/>
        </w:rPr>
        <w:t>graphical</w:t>
      </w:r>
      <w:r w:rsidR="00A22B7C" w:rsidRPr="00EB3F80">
        <w:rPr>
          <w:sz w:val="26"/>
          <w:szCs w:val="26"/>
        </w:rPr>
        <w:t xml:space="preserve"> and </w:t>
      </w:r>
      <w:r w:rsidR="00CF3432" w:rsidRPr="00EB3F80">
        <w:rPr>
          <w:sz w:val="26"/>
          <w:szCs w:val="26"/>
        </w:rPr>
        <w:t xml:space="preserve">other minor </w:t>
      </w:r>
      <w:r w:rsidR="00A22B7C" w:rsidRPr="00EB3F80">
        <w:rPr>
          <w:sz w:val="26"/>
          <w:szCs w:val="26"/>
        </w:rPr>
        <w:t xml:space="preserve">errors in the </w:t>
      </w:r>
      <w:r w:rsidR="00C92116">
        <w:rPr>
          <w:sz w:val="26"/>
          <w:szCs w:val="26"/>
        </w:rPr>
        <w:t>proposed 2011 TRM</w:t>
      </w:r>
      <w:r w:rsidR="00A22B7C" w:rsidRPr="00EB3F80">
        <w:rPr>
          <w:sz w:val="26"/>
          <w:szCs w:val="26"/>
        </w:rPr>
        <w:t>.</w:t>
      </w:r>
      <w:r w:rsidR="00CF3432" w:rsidRPr="00EB3F80">
        <w:rPr>
          <w:sz w:val="26"/>
          <w:szCs w:val="26"/>
        </w:rPr>
        <w:t xml:space="preserve">  </w:t>
      </w:r>
      <w:r w:rsidRPr="00EB3F80">
        <w:rPr>
          <w:sz w:val="26"/>
          <w:szCs w:val="26"/>
        </w:rPr>
        <w:t xml:space="preserve">Some </w:t>
      </w:r>
      <w:r w:rsidR="00C92116">
        <w:rPr>
          <w:sz w:val="26"/>
          <w:szCs w:val="26"/>
        </w:rPr>
        <w:t>Commenters</w:t>
      </w:r>
      <w:r w:rsidR="00CF3432" w:rsidRPr="00EB3F80">
        <w:rPr>
          <w:sz w:val="26"/>
          <w:szCs w:val="26"/>
        </w:rPr>
        <w:t xml:space="preserve"> also provided several substantive</w:t>
      </w:r>
      <w:r w:rsidR="005317CB" w:rsidRPr="00EB3F80">
        <w:rPr>
          <w:sz w:val="26"/>
          <w:szCs w:val="26"/>
        </w:rPr>
        <w:t xml:space="preserve"> </w:t>
      </w:r>
      <w:r w:rsidR="000F2321" w:rsidRPr="00EB3F80">
        <w:rPr>
          <w:sz w:val="26"/>
          <w:szCs w:val="26"/>
        </w:rPr>
        <w:t xml:space="preserve">comments </w:t>
      </w:r>
      <w:r w:rsidR="00CF3432" w:rsidRPr="00EB3F80">
        <w:rPr>
          <w:sz w:val="26"/>
          <w:szCs w:val="26"/>
        </w:rPr>
        <w:t>pertaining</w:t>
      </w:r>
      <w:r w:rsidR="005317CB" w:rsidRPr="00EB3F80">
        <w:rPr>
          <w:sz w:val="26"/>
          <w:szCs w:val="26"/>
        </w:rPr>
        <w:t xml:space="preserve"> to</w:t>
      </w:r>
      <w:r w:rsidR="000F2321" w:rsidRPr="00EB3F80">
        <w:rPr>
          <w:sz w:val="26"/>
          <w:szCs w:val="26"/>
        </w:rPr>
        <w:t xml:space="preserve"> </w:t>
      </w:r>
      <w:r w:rsidR="00CF3432" w:rsidRPr="00EB3F80">
        <w:rPr>
          <w:sz w:val="26"/>
          <w:szCs w:val="26"/>
        </w:rPr>
        <w:t>specific provisions</w:t>
      </w:r>
      <w:r w:rsidR="005317CB" w:rsidRPr="00EB3F80">
        <w:rPr>
          <w:sz w:val="26"/>
          <w:szCs w:val="26"/>
        </w:rPr>
        <w:t xml:space="preserve"> to </w:t>
      </w:r>
      <w:r w:rsidR="000F2321" w:rsidRPr="00EB3F80">
        <w:rPr>
          <w:sz w:val="26"/>
          <w:szCs w:val="26"/>
        </w:rPr>
        <w:t>modify</w:t>
      </w:r>
      <w:r w:rsidR="00110385" w:rsidRPr="00EB3F80">
        <w:rPr>
          <w:sz w:val="26"/>
          <w:szCs w:val="26"/>
        </w:rPr>
        <w:t xml:space="preserve"> the scope of the HVAC </w:t>
      </w:r>
      <w:r w:rsidR="00CF3432" w:rsidRPr="00EB3F80">
        <w:rPr>
          <w:sz w:val="26"/>
          <w:szCs w:val="26"/>
        </w:rPr>
        <w:t xml:space="preserve">Systems </w:t>
      </w:r>
      <w:r w:rsidR="00110385" w:rsidRPr="00EB3F80">
        <w:rPr>
          <w:sz w:val="26"/>
          <w:szCs w:val="26"/>
        </w:rPr>
        <w:t>protocol</w:t>
      </w:r>
      <w:r w:rsidR="005317CB" w:rsidRPr="00EB3F80">
        <w:rPr>
          <w:sz w:val="26"/>
          <w:szCs w:val="26"/>
        </w:rPr>
        <w:t>s</w:t>
      </w:r>
      <w:r w:rsidR="000F2321" w:rsidRPr="00EB3F80">
        <w:rPr>
          <w:sz w:val="26"/>
          <w:szCs w:val="26"/>
        </w:rPr>
        <w:t xml:space="preserve">. </w:t>
      </w:r>
    </w:p>
    <w:p w:rsidR="005317CB" w:rsidRPr="00EB3F80" w:rsidRDefault="005317CB" w:rsidP="00F91662">
      <w:pPr>
        <w:pStyle w:val="p3"/>
        <w:tabs>
          <w:tab w:val="clear" w:pos="204"/>
        </w:tabs>
        <w:spacing w:line="360" w:lineRule="auto"/>
        <w:rPr>
          <w:sz w:val="26"/>
          <w:szCs w:val="26"/>
        </w:rPr>
      </w:pPr>
    </w:p>
    <w:p w:rsidR="00810815" w:rsidRPr="00EB3F80" w:rsidRDefault="000F2321" w:rsidP="00F91662">
      <w:pPr>
        <w:pStyle w:val="p3"/>
        <w:tabs>
          <w:tab w:val="clear" w:pos="204"/>
        </w:tabs>
        <w:spacing w:line="360" w:lineRule="auto"/>
        <w:ind w:firstLine="720"/>
        <w:rPr>
          <w:sz w:val="26"/>
          <w:szCs w:val="26"/>
        </w:rPr>
      </w:pPr>
      <w:r w:rsidRPr="00EB3F80">
        <w:rPr>
          <w:sz w:val="26"/>
          <w:szCs w:val="26"/>
        </w:rPr>
        <w:t xml:space="preserve">PECO </w:t>
      </w:r>
      <w:r w:rsidR="00C92116">
        <w:rPr>
          <w:sz w:val="26"/>
          <w:szCs w:val="26"/>
        </w:rPr>
        <w:t>commented that</w:t>
      </w:r>
      <w:r w:rsidR="00547C82">
        <w:rPr>
          <w:sz w:val="26"/>
          <w:szCs w:val="26"/>
        </w:rPr>
        <w:t xml:space="preserve"> HVAC systems</w:t>
      </w:r>
      <w:r w:rsidR="009F34FE">
        <w:rPr>
          <w:sz w:val="26"/>
          <w:szCs w:val="26"/>
        </w:rPr>
        <w:t xml:space="preserve"> with variable speed controllers for compressors should be excluded or the protocol expanded to include treatment.  PECO stated that a factor for adjustment for older buildings or buildings with high thermal mass should be added to </w:t>
      </w:r>
      <w:r w:rsidR="00547C82">
        <w:rPr>
          <w:sz w:val="26"/>
          <w:szCs w:val="26"/>
        </w:rPr>
        <w:t xml:space="preserve">Section </w:t>
      </w:r>
      <w:r w:rsidR="009F34FE">
        <w:rPr>
          <w:sz w:val="26"/>
          <w:szCs w:val="26"/>
        </w:rPr>
        <w:t xml:space="preserve">3.6.1 to account for changes in EFLH for heating and cooling.  </w:t>
      </w:r>
      <w:r w:rsidR="00547C82">
        <w:rPr>
          <w:sz w:val="26"/>
          <w:szCs w:val="26"/>
        </w:rPr>
        <w:t xml:space="preserve">PECO stated that the algorithms section </w:t>
      </w:r>
      <w:r w:rsidR="009F34FE">
        <w:rPr>
          <w:sz w:val="26"/>
          <w:szCs w:val="26"/>
        </w:rPr>
        <w:t xml:space="preserve">under HVAC Systems includes Room </w:t>
      </w:r>
      <w:r w:rsidR="00A433F4">
        <w:rPr>
          <w:sz w:val="26"/>
          <w:szCs w:val="26"/>
        </w:rPr>
        <w:t>Air Conditioning (“</w:t>
      </w:r>
      <w:r w:rsidR="009F34FE">
        <w:rPr>
          <w:sz w:val="26"/>
          <w:szCs w:val="26"/>
        </w:rPr>
        <w:t>AC</w:t>
      </w:r>
      <w:r w:rsidR="00A433F4">
        <w:rPr>
          <w:sz w:val="26"/>
          <w:szCs w:val="26"/>
        </w:rPr>
        <w:t>”)</w:t>
      </w:r>
      <w:r w:rsidR="009F34FE">
        <w:rPr>
          <w:sz w:val="26"/>
          <w:szCs w:val="26"/>
        </w:rPr>
        <w:t xml:space="preserve">, but no baseline efficiency values are shown for Room AC in Table 3-21. </w:t>
      </w:r>
      <w:r w:rsidR="00C92116">
        <w:rPr>
          <w:sz w:val="26"/>
          <w:szCs w:val="26"/>
        </w:rPr>
        <w:t xml:space="preserve"> </w:t>
      </w:r>
      <w:proofErr w:type="gramStart"/>
      <w:r w:rsidR="009F34FE">
        <w:rPr>
          <w:sz w:val="26"/>
          <w:szCs w:val="26"/>
        </w:rPr>
        <w:t xml:space="preserve">(PECO </w:t>
      </w:r>
      <w:r w:rsidR="00C92116">
        <w:rPr>
          <w:sz w:val="26"/>
          <w:szCs w:val="26"/>
        </w:rPr>
        <w:t>C</w:t>
      </w:r>
      <w:r w:rsidR="009F34FE">
        <w:rPr>
          <w:sz w:val="26"/>
          <w:szCs w:val="26"/>
        </w:rPr>
        <w:t xml:space="preserve">omments Appendix </w:t>
      </w:r>
      <w:r w:rsidR="00C92116">
        <w:rPr>
          <w:sz w:val="26"/>
          <w:szCs w:val="26"/>
        </w:rPr>
        <w:t>at</w:t>
      </w:r>
      <w:r w:rsidR="009F34FE">
        <w:rPr>
          <w:sz w:val="26"/>
          <w:szCs w:val="26"/>
        </w:rPr>
        <w:t xml:space="preserve"> 11</w:t>
      </w:r>
      <w:r w:rsidR="00C92116">
        <w:rPr>
          <w:sz w:val="26"/>
          <w:szCs w:val="26"/>
        </w:rPr>
        <w:t xml:space="preserve"> and </w:t>
      </w:r>
      <w:r w:rsidR="009F34FE">
        <w:rPr>
          <w:sz w:val="26"/>
          <w:szCs w:val="26"/>
        </w:rPr>
        <w:t>12</w:t>
      </w:r>
      <w:r w:rsidR="00C92116">
        <w:rPr>
          <w:sz w:val="26"/>
          <w:szCs w:val="26"/>
        </w:rPr>
        <w:t>.</w:t>
      </w:r>
      <w:r w:rsidR="009F34FE">
        <w:rPr>
          <w:sz w:val="26"/>
          <w:szCs w:val="26"/>
        </w:rPr>
        <w:t>)</w:t>
      </w:r>
      <w:proofErr w:type="gramEnd"/>
    </w:p>
    <w:p w:rsidR="00D21E9C" w:rsidRPr="00EB3F80" w:rsidRDefault="00D21E9C" w:rsidP="00F91662">
      <w:pPr>
        <w:pStyle w:val="p3"/>
        <w:tabs>
          <w:tab w:val="clear" w:pos="204"/>
        </w:tabs>
        <w:spacing w:line="360" w:lineRule="auto"/>
        <w:ind w:firstLine="720"/>
        <w:rPr>
          <w:sz w:val="26"/>
          <w:szCs w:val="26"/>
        </w:rPr>
      </w:pPr>
    </w:p>
    <w:p w:rsidR="00D00180" w:rsidRPr="00EB3F80" w:rsidRDefault="009F34FE" w:rsidP="00F91662">
      <w:pPr>
        <w:pStyle w:val="p3"/>
        <w:tabs>
          <w:tab w:val="clear" w:pos="204"/>
        </w:tabs>
        <w:spacing w:line="360" w:lineRule="auto"/>
        <w:ind w:firstLine="720"/>
        <w:rPr>
          <w:sz w:val="26"/>
          <w:szCs w:val="26"/>
        </w:rPr>
      </w:pPr>
      <w:r>
        <w:rPr>
          <w:sz w:val="26"/>
          <w:szCs w:val="26"/>
        </w:rPr>
        <w:t xml:space="preserve">PPL suggested providing conversions from coefficient of performance (“COP”) to HSPF and EER to SEER for Ground Source Heat Pumps (“GSHP”) and Water-Source Heat Pumps (“WSHP”) under 65,000 </w:t>
      </w:r>
      <w:proofErr w:type="spellStart"/>
      <w:r>
        <w:rPr>
          <w:sz w:val="26"/>
          <w:szCs w:val="26"/>
        </w:rPr>
        <w:t>Btuh</w:t>
      </w:r>
      <w:proofErr w:type="spellEnd"/>
      <w:r>
        <w:rPr>
          <w:sz w:val="26"/>
          <w:szCs w:val="26"/>
        </w:rPr>
        <w:t xml:space="preserve"> in 3.6.1. </w:t>
      </w:r>
      <w:r w:rsidR="0029694B">
        <w:rPr>
          <w:sz w:val="26"/>
          <w:szCs w:val="26"/>
        </w:rPr>
        <w:t xml:space="preserve"> </w:t>
      </w:r>
      <w:proofErr w:type="gramStart"/>
      <w:r>
        <w:rPr>
          <w:sz w:val="26"/>
          <w:szCs w:val="26"/>
        </w:rPr>
        <w:t xml:space="preserve">(PPL </w:t>
      </w:r>
      <w:r w:rsidR="0029694B">
        <w:rPr>
          <w:sz w:val="26"/>
          <w:szCs w:val="26"/>
        </w:rPr>
        <w:t>C</w:t>
      </w:r>
      <w:r>
        <w:rPr>
          <w:sz w:val="26"/>
          <w:szCs w:val="26"/>
        </w:rPr>
        <w:t>omments at 29</w:t>
      </w:r>
      <w:r w:rsidR="0029694B">
        <w:rPr>
          <w:sz w:val="26"/>
          <w:szCs w:val="26"/>
        </w:rPr>
        <w:t>.</w:t>
      </w:r>
      <w:r>
        <w:rPr>
          <w:sz w:val="26"/>
          <w:szCs w:val="26"/>
        </w:rPr>
        <w:t>)</w:t>
      </w:r>
      <w:proofErr w:type="gramEnd"/>
    </w:p>
    <w:p w:rsidR="00D00180" w:rsidRPr="00EB3F80" w:rsidRDefault="00D00180" w:rsidP="00F91662">
      <w:pPr>
        <w:pStyle w:val="p3"/>
        <w:tabs>
          <w:tab w:val="clear" w:pos="204"/>
        </w:tabs>
        <w:spacing w:line="360" w:lineRule="auto"/>
        <w:ind w:firstLine="720"/>
        <w:rPr>
          <w:sz w:val="26"/>
          <w:szCs w:val="26"/>
        </w:rPr>
      </w:pPr>
    </w:p>
    <w:p w:rsidR="00D00180" w:rsidRPr="00EB3F80" w:rsidRDefault="009F34FE" w:rsidP="00F91662">
      <w:pPr>
        <w:pStyle w:val="p3"/>
        <w:tabs>
          <w:tab w:val="clear" w:pos="204"/>
        </w:tabs>
        <w:spacing w:line="360" w:lineRule="auto"/>
        <w:ind w:firstLine="720"/>
        <w:rPr>
          <w:sz w:val="26"/>
          <w:szCs w:val="26"/>
        </w:rPr>
      </w:pPr>
      <w:r>
        <w:rPr>
          <w:sz w:val="26"/>
          <w:szCs w:val="26"/>
        </w:rPr>
        <w:t xml:space="preserve">PECO </w:t>
      </w:r>
      <w:r w:rsidR="0029694B">
        <w:rPr>
          <w:sz w:val="26"/>
          <w:szCs w:val="26"/>
        </w:rPr>
        <w:t>suggested</w:t>
      </w:r>
      <w:r>
        <w:rPr>
          <w:sz w:val="26"/>
          <w:szCs w:val="26"/>
        </w:rPr>
        <w:t xml:space="preserve"> that all variables in Table 3-20, particularly coincidence factor, should be supported with additional sources.  PECO </w:t>
      </w:r>
      <w:r w:rsidR="0029694B">
        <w:rPr>
          <w:sz w:val="26"/>
          <w:szCs w:val="26"/>
        </w:rPr>
        <w:t>noted</w:t>
      </w:r>
      <w:r>
        <w:rPr>
          <w:sz w:val="26"/>
          <w:szCs w:val="26"/>
        </w:rPr>
        <w:t xml:space="preserve"> that the use of heating and </w:t>
      </w:r>
      <w:r>
        <w:rPr>
          <w:sz w:val="26"/>
          <w:szCs w:val="26"/>
        </w:rPr>
        <w:lastRenderedPageBreak/>
        <w:t xml:space="preserve">cooling time period allocation factors </w:t>
      </w:r>
      <w:r w:rsidR="0029694B">
        <w:rPr>
          <w:sz w:val="26"/>
          <w:szCs w:val="26"/>
        </w:rPr>
        <w:t>is not explained in Table 3-20.</w:t>
      </w:r>
      <w:r>
        <w:rPr>
          <w:sz w:val="26"/>
          <w:szCs w:val="26"/>
        </w:rPr>
        <w:t xml:space="preserve">  PECO recommended that either a sentence be added which explains how these allocation factors are used or they should be removed from the table. </w:t>
      </w:r>
      <w:r w:rsidR="0029694B">
        <w:rPr>
          <w:sz w:val="26"/>
          <w:szCs w:val="26"/>
        </w:rPr>
        <w:t xml:space="preserve"> </w:t>
      </w:r>
      <w:proofErr w:type="gramStart"/>
      <w:r>
        <w:rPr>
          <w:sz w:val="26"/>
          <w:szCs w:val="26"/>
        </w:rPr>
        <w:t xml:space="preserve">(PECO </w:t>
      </w:r>
      <w:r w:rsidR="0029694B">
        <w:rPr>
          <w:sz w:val="26"/>
          <w:szCs w:val="26"/>
        </w:rPr>
        <w:t>C</w:t>
      </w:r>
      <w:r>
        <w:rPr>
          <w:sz w:val="26"/>
          <w:szCs w:val="26"/>
        </w:rPr>
        <w:t xml:space="preserve">omments Appendix </w:t>
      </w:r>
      <w:r w:rsidR="0029694B">
        <w:rPr>
          <w:sz w:val="26"/>
          <w:szCs w:val="26"/>
        </w:rPr>
        <w:t>at</w:t>
      </w:r>
      <w:r>
        <w:rPr>
          <w:sz w:val="26"/>
          <w:szCs w:val="26"/>
        </w:rPr>
        <w:t xml:space="preserve"> 12</w:t>
      </w:r>
      <w:r w:rsidR="0029694B">
        <w:rPr>
          <w:sz w:val="26"/>
          <w:szCs w:val="26"/>
        </w:rPr>
        <w:t>.</w:t>
      </w:r>
      <w:r>
        <w:rPr>
          <w:sz w:val="26"/>
          <w:szCs w:val="26"/>
        </w:rPr>
        <w:t>)</w:t>
      </w:r>
      <w:proofErr w:type="gramEnd"/>
    </w:p>
    <w:p w:rsidR="00D00180" w:rsidRPr="00EB3F80" w:rsidRDefault="00D00180" w:rsidP="00F91662">
      <w:pPr>
        <w:pStyle w:val="p3"/>
        <w:tabs>
          <w:tab w:val="clear" w:pos="204"/>
        </w:tabs>
        <w:spacing w:line="360" w:lineRule="auto"/>
        <w:ind w:left="720"/>
        <w:rPr>
          <w:sz w:val="26"/>
          <w:szCs w:val="26"/>
        </w:rPr>
      </w:pPr>
    </w:p>
    <w:p w:rsidR="00C06262" w:rsidRDefault="009F34FE" w:rsidP="00F91662">
      <w:pPr>
        <w:pStyle w:val="p3"/>
        <w:tabs>
          <w:tab w:val="clear" w:pos="204"/>
        </w:tabs>
        <w:spacing w:line="360" w:lineRule="auto"/>
        <w:ind w:firstLine="720"/>
        <w:rPr>
          <w:sz w:val="26"/>
          <w:szCs w:val="26"/>
        </w:rPr>
      </w:pPr>
      <w:r>
        <w:rPr>
          <w:sz w:val="26"/>
          <w:szCs w:val="26"/>
        </w:rPr>
        <w:t>PECO stated that Table 3-21: Baseline SEER and EER efficiency values should be adjusted as noted and that New Construction values should be added in the last two rows.</w:t>
      </w:r>
      <w:r w:rsidR="0029694B">
        <w:rPr>
          <w:sz w:val="26"/>
          <w:szCs w:val="26"/>
        </w:rPr>
        <w:t xml:space="preserve">  </w:t>
      </w:r>
      <w:r>
        <w:rPr>
          <w:sz w:val="26"/>
          <w:szCs w:val="26"/>
        </w:rPr>
        <w:t xml:space="preserve">PECO also recommended several other revisions to </w:t>
      </w:r>
      <w:r w:rsidR="00C06262">
        <w:rPr>
          <w:sz w:val="26"/>
          <w:szCs w:val="26"/>
        </w:rPr>
        <w:t>Table 3-21</w:t>
      </w:r>
      <w:r>
        <w:rPr>
          <w:sz w:val="26"/>
          <w:szCs w:val="26"/>
        </w:rPr>
        <w:t xml:space="preserve">, mainly concerning IPLV requirements, deletions and added items, and a footnote. (PECO </w:t>
      </w:r>
      <w:r w:rsidR="00E94837">
        <w:rPr>
          <w:sz w:val="26"/>
          <w:szCs w:val="26"/>
        </w:rPr>
        <w:t>C</w:t>
      </w:r>
      <w:r>
        <w:rPr>
          <w:sz w:val="26"/>
          <w:szCs w:val="26"/>
        </w:rPr>
        <w:t xml:space="preserve">omments Appendix </w:t>
      </w:r>
      <w:r w:rsidR="00E94837">
        <w:rPr>
          <w:sz w:val="26"/>
          <w:szCs w:val="26"/>
        </w:rPr>
        <w:t>at</w:t>
      </w:r>
      <w:r>
        <w:rPr>
          <w:sz w:val="26"/>
          <w:szCs w:val="26"/>
        </w:rPr>
        <w:t xml:space="preserve"> 12-14</w:t>
      </w:r>
      <w:r w:rsidR="00E94837">
        <w:rPr>
          <w:sz w:val="26"/>
          <w:szCs w:val="26"/>
        </w:rPr>
        <w:t>.</w:t>
      </w:r>
      <w:r>
        <w:rPr>
          <w:sz w:val="26"/>
          <w:szCs w:val="26"/>
        </w:rPr>
        <w:t xml:space="preserve">)  </w:t>
      </w:r>
    </w:p>
    <w:p w:rsidR="00C06262" w:rsidRDefault="00C06262" w:rsidP="00F91662">
      <w:pPr>
        <w:pStyle w:val="p3"/>
        <w:tabs>
          <w:tab w:val="clear" w:pos="204"/>
        </w:tabs>
        <w:spacing w:line="360" w:lineRule="auto"/>
        <w:ind w:firstLine="720"/>
        <w:rPr>
          <w:sz w:val="26"/>
          <w:szCs w:val="26"/>
        </w:rPr>
      </w:pPr>
    </w:p>
    <w:p w:rsidR="00CD6B9B" w:rsidRDefault="009F34FE" w:rsidP="00F91662">
      <w:pPr>
        <w:pStyle w:val="p3"/>
        <w:tabs>
          <w:tab w:val="clear" w:pos="204"/>
        </w:tabs>
        <w:spacing w:line="360" w:lineRule="auto"/>
        <w:ind w:firstLine="720"/>
        <w:rPr>
          <w:sz w:val="26"/>
          <w:szCs w:val="26"/>
        </w:rPr>
      </w:pPr>
      <w:r>
        <w:rPr>
          <w:sz w:val="26"/>
          <w:szCs w:val="26"/>
        </w:rPr>
        <w:t xml:space="preserve">PPL and FirstEnergy stated that the proposed baseline for the GSHP in Table 3-21 is inconsistent with the residential sector where the baseline is the air-source heat pump (“ASHP”). </w:t>
      </w:r>
      <w:r w:rsidR="00E94837">
        <w:rPr>
          <w:sz w:val="26"/>
          <w:szCs w:val="26"/>
        </w:rPr>
        <w:t xml:space="preserve"> </w:t>
      </w:r>
      <w:proofErr w:type="gramStart"/>
      <w:r>
        <w:rPr>
          <w:sz w:val="26"/>
          <w:szCs w:val="26"/>
        </w:rPr>
        <w:t xml:space="preserve">(FirstEnergy </w:t>
      </w:r>
      <w:r w:rsidR="00E94837">
        <w:rPr>
          <w:sz w:val="26"/>
          <w:szCs w:val="26"/>
        </w:rPr>
        <w:t>C</w:t>
      </w:r>
      <w:r>
        <w:rPr>
          <w:sz w:val="26"/>
          <w:szCs w:val="26"/>
        </w:rPr>
        <w:t xml:space="preserve">omments at 16 </w:t>
      </w:r>
      <w:r w:rsidR="00E94837">
        <w:rPr>
          <w:sz w:val="26"/>
          <w:szCs w:val="26"/>
        </w:rPr>
        <w:t xml:space="preserve">and </w:t>
      </w:r>
      <w:r>
        <w:rPr>
          <w:sz w:val="26"/>
          <w:szCs w:val="26"/>
        </w:rPr>
        <w:t xml:space="preserve">PPL </w:t>
      </w:r>
      <w:r w:rsidR="00E94837">
        <w:rPr>
          <w:sz w:val="26"/>
          <w:szCs w:val="26"/>
        </w:rPr>
        <w:t>C</w:t>
      </w:r>
      <w:r>
        <w:rPr>
          <w:sz w:val="26"/>
          <w:szCs w:val="26"/>
        </w:rPr>
        <w:t>omments at 29</w:t>
      </w:r>
      <w:r w:rsidR="00E94837">
        <w:rPr>
          <w:sz w:val="26"/>
          <w:szCs w:val="26"/>
        </w:rPr>
        <w:t>.</w:t>
      </w:r>
      <w:r>
        <w:rPr>
          <w:sz w:val="26"/>
          <w:szCs w:val="26"/>
        </w:rPr>
        <w:t>)</w:t>
      </w:r>
      <w:proofErr w:type="gramEnd"/>
      <w:r>
        <w:rPr>
          <w:sz w:val="26"/>
          <w:szCs w:val="26"/>
        </w:rPr>
        <w:t xml:space="preserve">  PPL stated that the GSHP is not the appropriate baseline because the incentive is not designed to promote a higher efficiency GSHP, but rather to promote a GSHP instead of an ASHP. </w:t>
      </w:r>
      <w:r w:rsidR="00E94837">
        <w:rPr>
          <w:sz w:val="26"/>
          <w:szCs w:val="26"/>
        </w:rPr>
        <w:t xml:space="preserve"> </w:t>
      </w:r>
      <w:proofErr w:type="gramStart"/>
      <w:r>
        <w:rPr>
          <w:sz w:val="26"/>
          <w:szCs w:val="26"/>
        </w:rPr>
        <w:t xml:space="preserve">(PPL </w:t>
      </w:r>
      <w:r w:rsidR="00E94837">
        <w:rPr>
          <w:sz w:val="26"/>
          <w:szCs w:val="26"/>
        </w:rPr>
        <w:t>C</w:t>
      </w:r>
      <w:r>
        <w:rPr>
          <w:sz w:val="26"/>
          <w:szCs w:val="26"/>
        </w:rPr>
        <w:t>omments at 29</w:t>
      </w:r>
      <w:r w:rsidR="00E94837">
        <w:rPr>
          <w:sz w:val="26"/>
          <w:szCs w:val="26"/>
        </w:rPr>
        <w:t>.</w:t>
      </w:r>
      <w:r>
        <w:rPr>
          <w:sz w:val="26"/>
          <w:szCs w:val="26"/>
        </w:rPr>
        <w:t>)</w:t>
      </w:r>
      <w:proofErr w:type="gramEnd"/>
      <w:r>
        <w:rPr>
          <w:sz w:val="26"/>
          <w:szCs w:val="26"/>
        </w:rPr>
        <w:t xml:space="preserve">  </w:t>
      </w:r>
    </w:p>
    <w:p w:rsidR="00CD6B9B" w:rsidRDefault="00CD6B9B" w:rsidP="00F91662">
      <w:pPr>
        <w:pStyle w:val="p3"/>
        <w:tabs>
          <w:tab w:val="clear" w:pos="204"/>
        </w:tabs>
        <w:spacing w:line="360" w:lineRule="auto"/>
        <w:ind w:firstLine="720"/>
        <w:rPr>
          <w:sz w:val="26"/>
          <w:szCs w:val="26"/>
        </w:rPr>
      </w:pPr>
    </w:p>
    <w:p w:rsidR="00C06262" w:rsidRDefault="00E94837" w:rsidP="00F91662">
      <w:pPr>
        <w:pStyle w:val="p3"/>
        <w:tabs>
          <w:tab w:val="clear" w:pos="204"/>
        </w:tabs>
        <w:spacing w:line="360" w:lineRule="auto"/>
        <w:ind w:firstLine="720"/>
        <w:rPr>
          <w:sz w:val="26"/>
          <w:szCs w:val="26"/>
        </w:rPr>
      </w:pPr>
      <w:r>
        <w:rPr>
          <w:sz w:val="26"/>
          <w:szCs w:val="26"/>
        </w:rPr>
        <w:t xml:space="preserve">PPL requested that the efficiency baseline changes currently included in Table 3-21 become effective June 1, 2013, so as not to adversely affect program delivery or participation.  </w:t>
      </w:r>
      <w:proofErr w:type="gramStart"/>
      <w:r>
        <w:rPr>
          <w:sz w:val="26"/>
          <w:szCs w:val="26"/>
        </w:rPr>
        <w:t>(PPL Comments at 28.)</w:t>
      </w:r>
      <w:proofErr w:type="gramEnd"/>
      <w:r w:rsidR="00CD6B9B">
        <w:rPr>
          <w:sz w:val="26"/>
          <w:szCs w:val="26"/>
        </w:rPr>
        <w:t xml:space="preserve">  </w:t>
      </w:r>
      <w:r w:rsidR="009F34FE">
        <w:rPr>
          <w:sz w:val="26"/>
          <w:szCs w:val="26"/>
        </w:rPr>
        <w:t xml:space="preserve">Duquesne disagreed with Table 3-21 baseline efficiencies for </w:t>
      </w:r>
      <w:r w:rsidR="00C06262">
        <w:rPr>
          <w:sz w:val="26"/>
          <w:szCs w:val="26"/>
        </w:rPr>
        <w:t xml:space="preserve">ASHPs </w:t>
      </w:r>
      <w:r w:rsidR="009F34FE">
        <w:rPr>
          <w:sz w:val="26"/>
          <w:szCs w:val="26"/>
        </w:rPr>
        <w:t>and central air conditioners as the referenced IECC and</w:t>
      </w:r>
      <w:r w:rsidR="002D48B3">
        <w:rPr>
          <w:sz w:val="26"/>
          <w:szCs w:val="26"/>
        </w:rPr>
        <w:t xml:space="preserve"> American Society of Heat, Refrigerating and Air-Conditioning Engineers</w:t>
      </w:r>
      <w:r w:rsidR="009F34FE">
        <w:rPr>
          <w:sz w:val="26"/>
          <w:szCs w:val="26"/>
        </w:rPr>
        <w:t xml:space="preserve"> </w:t>
      </w:r>
      <w:r w:rsidR="002D48B3">
        <w:rPr>
          <w:sz w:val="26"/>
          <w:szCs w:val="26"/>
        </w:rPr>
        <w:t>(“</w:t>
      </w:r>
      <w:r w:rsidR="009F34FE">
        <w:rPr>
          <w:sz w:val="26"/>
          <w:szCs w:val="26"/>
        </w:rPr>
        <w:t>ASHRAE</w:t>
      </w:r>
      <w:r w:rsidR="002D48B3">
        <w:rPr>
          <w:sz w:val="26"/>
          <w:szCs w:val="26"/>
        </w:rPr>
        <w:t>”)</w:t>
      </w:r>
      <w:r w:rsidR="009F34FE">
        <w:rPr>
          <w:sz w:val="26"/>
          <w:szCs w:val="26"/>
        </w:rPr>
        <w:t xml:space="preserve"> documents, and suggested that these are not applicable for retrofit projects. </w:t>
      </w:r>
      <w:r>
        <w:rPr>
          <w:sz w:val="26"/>
          <w:szCs w:val="26"/>
        </w:rPr>
        <w:t xml:space="preserve"> </w:t>
      </w:r>
      <w:proofErr w:type="gramStart"/>
      <w:r w:rsidR="009F34FE">
        <w:rPr>
          <w:sz w:val="26"/>
          <w:szCs w:val="26"/>
        </w:rPr>
        <w:t xml:space="preserve">(Duquesne </w:t>
      </w:r>
      <w:r>
        <w:rPr>
          <w:sz w:val="26"/>
          <w:szCs w:val="26"/>
        </w:rPr>
        <w:t>C</w:t>
      </w:r>
      <w:r w:rsidR="009F34FE">
        <w:rPr>
          <w:sz w:val="26"/>
          <w:szCs w:val="26"/>
        </w:rPr>
        <w:t>omments at 5</w:t>
      </w:r>
      <w:r>
        <w:rPr>
          <w:sz w:val="26"/>
          <w:szCs w:val="26"/>
        </w:rPr>
        <w:t>.</w:t>
      </w:r>
      <w:r w:rsidR="009F34FE">
        <w:rPr>
          <w:sz w:val="26"/>
          <w:szCs w:val="26"/>
        </w:rPr>
        <w:t>)</w:t>
      </w:r>
      <w:proofErr w:type="gramEnd"/>
      <w:r w:rsidR="009F34FE">
        <w:rPr>
          <w:sz w:val="26"/>
          <w:szCs w:val="26"/>
        </w:rPr>
        <w:t xml:space="preserve">  </w:t>
      </w:r>
    </w:p>
    <w:p w:rsidR="00C06262" w:rsidRDefault="00C06262" w:rsidP="00F91662">
      <w:pPr>
        <w:pStyle w:val="p3"/>
        <w:tabs>
          <w:tab w:val="clear" w:pos="204"/>
        </w:tabs>
        <w:spacing w:line="360" w:lineRule="auto"/>
        <w:ind w:firstLine="720"/>
        <w:rPr>
          <w:sz w:val="26"/>
          <w:szCs w:val="26"/>
        </w:rPr>
      </w:pPr>
    </w:p>
    <w:p w:rsidR="00D00180" w:rsidRPr="00EB3F80" w:rsidRDefault="009F34FE" w:rsidP="00F91662">
      <w:pPr>
        <w:pStyle w:val="p3"/>
        <w:tabs>
          <w:tab w:val="clear" w:pos="204"/>
        </w:tabs>
        <w:spacing w:line="360" w:lineRule="auto"/>
        <w:ind w:firstLine="720"/>
        <w:rPr>
          <w:sz w:val="26"/>
          <w:szCs w:val="26"/>
        </w:rPr>
      </w:pPr>
      <w:r>
        <w:rPr>
          <w:sz w:val="26"/>
          <w:szCs w:val="26"/>
        </w:rPr>
        <w:t>PECO requested that a zip code mapping table be developed and included in the TRM which maps all Pennsylvania zip codes to an appropriate city as listed in Tables 3</w:t>
      </w:r>
      <w:r w:rsidR="00CD6B9B">
        <w:rPr>
          <w:sz w:val="26"/>
          <w:szCs w:val="26"/>
        </w:rPr>
        <w:noBreakHyphen/>
      </w:r>
      <w:r>
        <w:rPr>
          <w:sz w:val="26"/>
          <w:szCs w:val="26"/>
        </w:rPr>
        <w:t xml:space="preserve">22 and 3-23.  PECO supported its request by stating the nearest geographic location may not be most applicable. </w:t>
      </w:r>
      <w:r w:rsidR="00CD6B9B">
        <w:rPr>
          <w:sz w:val="26"/>
          <w:szCs w:val="26"/>
        </w:rPr>
        <w:t xml:space="preserve"> </w:t>
      </w:r>
      <w:proofErr w:type="gramStart"/>
      <w:r>
        <w:rPr>
          <w:sz w:val="26"/>
          <w:szCs w:val="26"/>
        </w:rPr>
        <w:t xml:space="preserve">(PECO </w:t>
      </w:r>
      <w:r w:rsidR="00CD6B9B">
        <w:rPr>
          <w:sz w:val="26"/>
          <w:szCs w:val="26"/>
        </w:rPr>
        <w:t>C</w:t>
      </w:r>
      <w:r>
        <w:rPr>
          <w:sz w:val="26"/>
          <w:szCs w:val="26"/>
        </w:rPr>
        <w:t xml:space="preserve">omments Appendix </w:t>
      </w:r>
      <w:r w:rsidR="00CD6B9B">
        <w:rPr>
          <w:sz w:val="26"/>
          <w:szCs w:val="26"/>
        </w:rPr>
        <w:t>at</w:t>
      </w:r>
      <w:r>
        <w:rPr>
          <w:sz w:val="26"/>
          <w:szCs w:val="26"/>
        </w:rPr>
        <w:t xml:space="preserve"> 14</w:t>
      </w:r>
      <w:r w:rsidR="00CD6B9B">
        <w:rPr>
          <w:sz w:val="26"/>
          <w:szCs w:val="26"/>
        </w:rPr>
        <w:t>.</w:t>
      </w:r>
      <w:r>
        <w:rPr>
          <w:sz w:val="26"/>
          <w:szCs w:val="26"/>
        </w:rPr>
        <w:t>)</w:t>
      </w:r>
      <w:proofErr w:type="gramEnd"/>
      <w:r>
        <w:rPr>
          <w:sz w:val="26"/>
          <w:szCs w:val="26"/>
        </w:rPr>
        <w:t xml:space="preserve">  PPL requested the </w:t>
      </w:r>
      <w:r>
        <w:rPr>
          <w:sz w:val="26"/>
          <w:szCs w:val="26"/>
        </w:rPr>
        <w:lastRenderedPageBreak/>
        <w:t>addition of Allentown to Tables 3-22, 3-26, and 3-56 for consistency with locations in other tables.</w:t>
      </w:r>
      <w:r w:rsidR="00DE6F8E" w:rsidRPr="00EB3F80">
        <w:rPr>
          <w:sz w:val="26"/>
          <w:szCs w:val="26"/>
        </w:rPr>
        <w:t xml:space="preserve"> </w:t>
      </w:r>
      <w:r w:rsidR="00CD6B9B">
        <w:rPr>
          <w:sz w:val="26"/>
          <w:szCs w:val="26"/>
        </w:rPr>
        <w:t xml:space="preserve"> </w:t>
      </w:r>
      <w:proofErr w:type="gramStart"/>
      <w:r w:rsidR="00DE6F8E" w:rsidRPr="00EB3F80">
        <w:rPr>
          <w:sz w:val="26"/>
          <w:szCs w:val="26"/>
        </w:rPr>
        <w:t xml:space="preserve">(PPL </w:t>
      </w:r>
      <w:r w:rsidR="00CD6B9B">
        <w:rPr>
          <w:sz w:val="26"/>
          <w:szCs w:val="26"/>
        </w:rPr>
        <w:t>C</w:t>
      </w:r>
      <w:r w:rsidR="00DE6F8E" w:rsidRPr="00EB3F80">
        <w:rPr>
          <w:sz w:val="26"/>
          <w:szCs w:val="26"/>
        </w:rPr>
        <w:t>omments at 29</w:t>
      </w:r>
      <w:r w:rsidR="00CD6B9B">
        <w:rPr>
          <w:sz w:val="26"/>
          <w:szCs w:val="26"/>
        </w:rPr>
        <w:t>.</w:t>
      </w:r>
      <w:r w:rsidR="00DE6F8E" w:rsidRPr="00EB3F80">
        <w:rPr>
          <w:sz w:val="26"/>
          <w:szCs w:val="26"/>
        </w:rPr>
        <w:t>)</w:t>
      </w:r>
      <w:proofErr w:type="gramEnd"/>
    </w:p>
    <w:p w:rsidR="00D00180" w:rsidRPr="00EB3F80" w:rsidRDefault="00D00180" w:rsidP="00F91662">
      <w:pPr>
        <w:pStyle w:val="p3"/>
        <w:tabs>
          <w:tab w:val="clear" w:pos="204"/>
        </w:tabs>
        <w:spacing w:line="360" w:lineRule="auto"/>
        <w:ind w:left="720"/>
        <w:rPr>
          <w:b/>
          <w:sz w:val="26"/>
          <w:szCs w:val="26"/>
        </w:rPr>
      </w:pPr>
    </w:p>
    <w:p w:rsidR="00CB78DE" w:rsidRPr="00EB3F80" w:rsidRDefault="00CB78DE" w:rsidP="0052550D">
      <w:pPr>
        <w:pStyle w:val="p3"/>
        <w:numPr>
          <w:ilvl w:val="0"/>
          <w:numId w:val="18"/>
        </w:numPr>
        <w:tabs>
          <w:tab w:val="clear" w:pos="204"/>
        </w:tabs>
        <w:spacing w:line="360" w:lineRule="auto"/>
        <w:ind w:left="2160" w:hanging="720"/>
        <w:rPr>
          <w:b/>
          <w:sz w:val="26"/>
          <w:szCs w:val="26"/>
        </w:rPr>
      </w:pPr>
      <w:r w:rsidRPr="00EB3F80">
        <w:rPr>
          <w:b/>
          <w:sz w:val="26"/>
          <w:szCs w:val="26"/>
        </w:rPr>
        <w:t>Disposition</w:t>
      </w:r>
    </w:p>
    <w:p w:rsidR="00DC00B2" w:rsidRPr="00EB3F80" w:rsidRDefault="00DC00B2" w:rsidP="00F91662">
      <w:pPr>
        <w:pStyle w:val="p3"/>
        <w:tabs>
          <w:tab w:val="clear" w:pos="204"/>
        </w:tabs>
        <w:spacing w:line="360" w:lineRule="auto"/>
        <w:rPr>
          <w:sz w:val="26"/>
          <w:szCs w:val="26"/>
        </w:rPr>
      </w:pPr>
    </w:p>
    <w:p w:rsidR="00EF68E7" w:rsidRPr="00EB3F80" w:rsidRDefault="00EF68E7" w:rsidP="00F91662">
      <w:pPr>
        <w:pStyle w:val="p3"/>
        <w:tabs>
          <w:tab w:val="clear" w:pos="204"/>
        </w:tabs>
        <w:spacing w:line="360" w:lineRule="auto"/>
        <w:ind w:firstLine="720"/>
        <w:rPr>
          <w:sz w:val="26"/>
          <w:szCs w:val="26"/>
        </w:rPr>
      </w:pPr>
      <w:r w:rsidRPr="00EB3F80">
        <w:rPr>
          <w:sz w:val="26"/>
          <w:szCs w:val="26"/>
        </w:rPr>
        <w:t>Typo</w:t>
      </w:r>
      <w:r w:rsidR="00B3442B" w:rsidRPr="00EB3F80">
        <w:rPr>
          <w:sz w:val="26"/>
          <w:szCs w:val="26"/>
        </w:rPr>
        <w:t>graphical</w:t>
      </w:r>
      <w:r w:rsidRPr="00EB3F80">
        <w:rPr>
          <w:sz w:val="26"/>
          <w:szCs w:val="26"/>
        </w:rPr>
        <w:t xml:space="preserve"> and </w:t>
      </w:r>
      <w:r w:rsidR="00B3442B" w:rsidRPr="00EB3F80">
        <w:rPr>
          <w:sz w:val="26"/>
          <w:szCs w:val="26"/>
        </w:rPr>
        <w:t xml:space="preserve">other minor </w:t>
      </w:r>
      <w:r w:rsidRPr="00EB3F80">
        <w:rPr>
          <w:sz w:val="26"/>
          <w:szCs w:val="26"/>
        </w:rPr>
        <w:t xml:space="preserve">errors identified by the </w:t>
      </w:r>
      <w:r w:rsidR="00CD6B9B">
        <w:rPr>
          <w:sz w:val="26"/>
          <w:szCs w:val="26"/>
        </w:rPr>
        <w:t>Commenters</w:t>
      </w:r>
      <w:r w:rsidR="00CF23EF" w:rsidRPr="00EB3F80">
        <w:rPr>
          <w:sz w:val="26"/>
          <w:szCs w:val="26"/>
        </w:rPr>
        <w:t xml:space="preserve"> </w:t>
      </w:r>
      <w:r w:rsidR="00D21E9C" w:rsidRPr="00EB3F80">
        <w:rPr>
          <w:sz w:val="26"/>
          <w:szCs w:val="26"/>
        </w:rPr>
        <w:t xml:space="preserve">have been </w:t>
      </w:r>
      <w:r w:rsidR="00CD6B9B">
        <w:rPr>
          <w:sz w:val="26"/>
          <w:szCs w:val="26"/>
        </w:rPr>
        <w:t>incorporated</w:t>
      </w:r>
      <w:r w:rsidR="00D21E9C" w:rsidRPr="00EB3F80">
        <w:rPr>
          <w:sz w:val="26"/>
          <w:szCs w:val="26"/>
        </w:rPr>
        <w:t xml:space="preserve"> in</w:t>
      </w:r>
      <w:r w:rsidR="00CD6B9B">
        <w:rPr>
          <w:sz w:val="26"/>
          <w:szCs w:val="26"/>
        </w:rPr>
        <w:t>to</w:t>
      </w:r>
      <w:r w:rsidR="00D21E9C" w:rsidRPr="00EB3F80">
        <w:rPr>
          <w:sz w:val="26"/>
          <w:szCs w:val="26"/>
        </w:rPr>
        <w:t xml:space="preserve"> the </w:t>
      </w:r>
      <w:r w:rsidR="00CD6B9B">
        <w:rPr>
          <w:sz w:val="26"/>
          <w:szCs w:val="26"/>
        </w:rPr>
        <w:t xml:space="preserve">2011 </w:t>
      </w:r>
      <w:r w:rsidR="00D21E9C" w:rsidRPr="00EB3F80">
        <w:rPr>
          <w:sz w:val="26"/>
          <w:szCs w:val="26"/>
        </w:rPr>
        <w:t>TRM</w:t>
      </w:r>
      <w:r w:rsidR="006B2719" w:rsidRPr="00EB3F80">
        <w:rPr>
          <w:sz w:val="26"/>
          <w:szCs w:val="26"/>
        </w:rPr>
        <w:t>, improving the quality, clarity and consistency of the document</w:t>
      </w:r>
      <w:r w:rsidR="00D21E9C" w:rsidRPr="00EB3F80">
        <w:rPr>
          <w:sz w:val="26"/>
          <w:szCs w:val="26"/>
        </w:rPr>
        <w:t>.</w:t>
      </w:r>
    </w:p>
    <w:p w:rsidR="005E479B" w:rsidRPr="00EB3F80" w:rsidRDefault="005E479B" w:rsidP="00F91662">
      <w:pPr>
        <w:pStyle w:val="p3"/>
        <w:tabs>
          <w:tab w:val="clear" w:pos="204"/>
        </w:tabs>
        <w:spacing w:line="360" w:lineRule="auto"/>
        <w:ind w:firstLine="720"/>
        <w:rPr>
          <w:sz w:val="26"/>
          <w:szCs w:val="26"/>
        </w:rPr>
      </w:pPr>
    </w:p>
    <w:p w:rsidR="00C06262" w:rsidRDefault="005E479B" w:rsidP="00F91662">
      <w:pPr>
        <w:pStyle w:val="p3"/>
        <w:tabs>
          <w:tab w:val="clear" w:pos="204"/>
        </w:tabs>
        <w:spacing w:line="360" w:lineRule="auto"/>
        <w:ind w:firstLine="720"/>
        <w:rPr>
          <w:sz w:val="26"/>
          <w:szCs w:val="26"/>
        </w:rPr>
      </w:pPr>
      <w:r w:rsidRPr="00EB3F80">
        <w:rPr>
          <w:sz w:val="26"/>
          <w:szCs w:val="26"/>
        </w:rPr>
        <w:t>Relative to the</w:t>
      </w:r>
      <w:r w:rsidR="000F2321" w:rsidRPr="00EB3F80">
        <w:rPr>
          <w:sz w:val="26"/>
          <w:szCs w:val="26"/>
        </w:rPr>
        <w:t xml:space="preserve"> current HVAC protocol</w:t>
      </w:r>
      <w:r w:rsidR="000269E3" w:rsidRPr="00EB3F80">
        <w:rPr>
          <w:sz w:val="26"/>
          <w:szCs w:val="26"/>
        </w:rPr>
        <w:t>, EFLH values referenced in Table</w:t>
      </w:r>
      <w:r w:rsidR="00973718" w:rsidRPr="00EB3F80">
        <w:rPr>
          <w:sz w:val="26"/>
          <w:szCs w:val="26"/>
        </w:rPr>
        <w:t>s</w:t>
      </w:r>
      <w:r w:rsidR="000269E3" w:rsidRPr="00EB3F80">
        <w:rPr>
          <w:sz w:val="26"/>
          <w:szCs w:val="26"/>
        </w:rPr>
        <w:t xml:space="preserve"> 3-2</w:t>
      </w:r>
      <w:r w:rsidR="00973718" w:rsidRPr="00EB3F80">
        <w:rPr>
          <w:sz w:val="26"/>
          <w:szCs w:val="26"/>
        </w:rPr>
        <w:t>2 and 3-23</w:t>
      </w:r>
      <w:r w:rsidR="000269E3" w:rsidRPr="00EB3F80">
        <w:rPr>
          <w:sz w:val="26"/>
          <w:szCs w:val="26"/>
        </w:rPr>
        <w:t>,</w:t>
      </w:r>
      <w:r w:rsidR="000F2321" w:rsidRPr="00EB3F80">
        <w:rPr>
          <w:sz w:val="26"/>
          <w:szCs w:val="26"/>
        </w:rPr>
        <w:t xml:space="preserve"> do not </w:t>
      </w:r>
      <w:r w:rsidR="00D21E9C" w:rsidRPr="00EB3F80">
        <w:rPr>
          <w:sz w:val="26"/>
          <w:szCs w:val="26"/>
        </w:rPr>
        <w:t xml:space="preserve">take into </w:t>
      </w:r>
      <w:r w:rsidR="000F2321" w:rsidRPr="00EB3F80">
        <w:rPr>
          <w:sz w:val="26"/>
          <w:szCs w:val="26"/>
        </w:rPr>
        <w:t>consider</w:t>
      </w:r>
      <w:r w:rsidR="00D21E9C" w:rsidRPr="00EB3F80">
        <w:rPr>
          <w:sz w:val="26"/>
          <w:szCs w:val="26"/>
        </w:rPr>
        <w:t>ation</w:t>
      </w:r>
      <w:r w:rsidR="000F2321" w:rsidRPr="00EB3F80">
        <w:rPr>
          <w:sz w:val="26"/>
          <w:szCs w:val="26"/>
        </w:rPr>
        <w:t xml:space="preserve"> the use of </w:t>
      </w:r>
      <w:r w:rsidR="000269E3" w:rsidRPr="00EB3F80">
        <w:rPr>
          <w:sz w:val="26"/>
          <w:szCs w:val="26"/>
        </w:rPr>
        <w:t xml:space="preserve">variable speed controllers or </w:t>
      </w:r>
      <w:r w:rsidR="000F2321" w:rsidRPr="00EB3F80">
        <w:rPr>
          <w:sz w:val="26"/>
          <w:szCs w:val="26"/>
        </w:rPr>
        <w:t xml:space="preserve">VFDs in either the baseline or retrofit conditions. </w:t>
      </w:r>
      <w:r w:rsidR="00831D98" w:rsidRPr="00EB3F80">
        <w:rPr>
          <w:sz w:val="26"/>
          <w:szCs w:val="26"/>
        </w:rPr>
        <w:t xml:space="preserve"> </w:t>
      </w:r>
      <w:r w:rsidR="000269E3" w:rsidRPr="00EB3F80">
        <w:rPr>
          <w:sz w:val="26"/>
          <w:szCs w:val="26"/>
        </w:rPr>
        <w:t>Therefore, the language has been modified to exclude the use of VFDs</w:t>
      </w:r>
      <w:r w:rsidR="00052B12">
        <w:rPr>
          <w:sz w:val="26"/>
          <w:szCs w:val="26"/>
        </w:rPr>
        <w:t>, and the TRM has been updated accordingly</w:t>
      </w:r>
      <w:r w:rsidR="000269E3" w:rsidRPr="00EB3F80">
        <w:rPr>
          <w:sz w:val="26"/>
          <w:szCs w:val="26"/>
        </w:rPr>
        <w:t xml:space="preserve">. </w:t>
      </w:r>
    </w:p>
    <w:p w:rsidR="00C06262" w:rsidRDefault="00C06262" w:rsidP="00F91662">
      <w:pPr>
        <w:pStyle w:val="p3"/>
        <w:tabs>
          <w:tab w:val="clear" w:pos="204"/>
        </w:tabs>
        <w:spacing w:line="360" w:lineRule="auto"/>
        <w:ind w:firstLine="720"/>
        <w:rPr>
          <w:sz w:val="26"/>
          <w:szCs w:val="26"/>
        </w:rPr>
      </w:pPr>
    </w:p>
    <w:p w:rsidR="005E479B" w:rsidRPr="00EB3F80" w:rsidRDefault="008D0DB4" w:rsidP="00F91662">
      <w:pPr>
        <w:pStyle w:val="p3"/>
        <w:tabs>
          <w:tab w:val="clear" w:pos="204"/>
        </w:tabs>
        <w:spacing w:line="360" w:lineRule="auto"/>
        <w:ind w:firstLine="720"/>
        <w:rPr>
          <w:sz w:val="26"/>
          <w:szCs w:val="26"/>
        </w:rPr>
      </w:pPr>
      <w:r>
        <w:rPr>
          <w:sz w:val="26"/>
          <w:szCs w:val="26"/>
        </w:rPr>
        <w:t>The</w:t>
      </w:r>
      <w:r w:rsidR="00C06262">
        <w:rPr>
          <w:sz w:val="26"/>
          <w:szCs w:val="26"/>
        </w:rPr>
        <w:t xml:space="preserve"> Commission rejects PECO’s request to </w:t>
      </w:r>
      <w:r w:rsidR="005E2F2F" w:rsidRPr="00EB3F80">
        <w:rPr>
          <w:sz w:val="26"/>
          <w:szCs w:val="26"/>
        </w:rPr>
        <w:t xml:space="preserve">modify </w:t>
      </w:r>
      <w:r w:rsidR="000269E3" w:rsidRPr="00EB3F80">
        <w:rPr>
          <w:sz w:val="26"/>
          <w:szCs w:val="26"/>
        </w:rPr>
        <w:t xml:space="preserve">savings protocols to account </w:t>
      </w:r>
      <w:r w:rsidR="00782C35" w:rsidRPr="00EB3F80">
        <w:rPr>
          <w:sz w:val="26"/>
          <w:szCs w:val="26"/>
        </w:rPr>
        <w:t xml:space="preserve">for thermal mass </w:t>
      </w:r>
      <w:r w:rsidR="00C06262">
        <w:rPr>
          <w:sz w:val="26"/>
          <w:szCs w:val="26"/>
        </w:rPr>
        <w:t xml:space="preserve">as it </w:t>
      </w:r>
      <w:r w:rsidR="000269E3" w:rsidRPr="00EB3F80">
        <w:rPr>
          <w:sz w:val="26"/>
          <w:szCs w:val="26"/>
        </w:rPr>
        <w:t>consider</w:t>
      </w:r>
      <w:r w:rsidR="00C06262">
        <w:rPr>
          <w:sz w:val="26"/>
          <w:szCs w:val="26"/>
        </w:rPr>
        <w:t>s</w:t>
      </w:r>
      <w:r w:rsidR="00782C35" w:rsidRPr="00EB3F80">
        <w:rPr>
          <w:sz w:val="26"/>
          <w:szCs w:val="26"/>
        </w:rPr>
        <w:t xml:space="preserve"> </w:t>
      </w:r>
      <w:r w:rsidR="00C06262">
        <w:rPr>
          <w:sz w:val="26"/>
          <w:szCs w:val="26"/>
        </w:rPr>
        <w:t xml:space="preserve">this to be </w:t>
      </w:r>
      <w:r w:rsidR="000269E3" w:rsidRPr="00EB3F80">
        <w:rPr>
          <w:sz w:val="26"/>
          <w:szCs w:val="26"/>
        </w:rPr>
        <w:t xml:space="preserve">too complex for inclusion in the TRM. </w:t>
      </w:r>
      <w:r w:rsidR="00052B12">
        <w:rPr>
          <w:sz w:val="26"/>
          <w:szCs w:val="26"/>
        </w:rPr>
        <w:t xml:space="preserve"> </w:t>
      </w:r>
      <w:r w:rsidR="000269E3" w:rsidRPr="00EB3F80">
        <w:rPr>
          <w:sz w:val="26"/>
          <w:szCs w:val="26"/>
        </w:rPr>
        <w:t>Therefore,</w:t>
      </w:r>
      <w:r w:rsidR="00782C35" w:rsidRPr="00EB3F80">
        <w:rPr>
          <w:sz w:val="26"/>
          <w:szCs w:val="26"/>
        </w:rPr>
        <w:t xml:space="preserve"> projects in which thermal mass in buildings </w:t>
      </w:r>
      <w:r>
        <w:rPr>
          <w:sz w:val="26"/>
          <w:szCs w:val="26"/>
        </w:rPr>
        <w:t>i</w:t>
      </w:r>
      <w:r w:rsidR="00782C35" w:rsidRPr="00EB3F80">
        <w:rPr>
          <w:sz w:val="26"/>
          <w:szCs w:val="26"/>
        </w:rPr>
        <w:t>s a consideration should be treated as custom projects.</w:t>
      </w:r>
      <w:r w:rsidR="00B367DB" w:rsidRPr="00EB3F80">
        <w:rPr>
          <w:sz w:val="26"/>
          <w:szCs w:val="26"/>
        </w:rPr>
        <w:t xml:space="preserve">  The amount of thermal mass present can be highly variable from building to building, and developing a factor that would approximate this effect over the entire range </w:t>
      </w:r>
      <w:r w:rsidR="005E479B" w:rsidRPr="00EB3F80">
        <w:rPr>
          <w:sz w:val="26"/>
          <w:szCs w:val="26"/>
        </w:rPr>
        <w:t xml:space="preserve">of </w:t>
      </w:r>
      <w:r w:rsidR="004561D2">
        <w:rPr>
          <w:sz w:val="26"/>
          <w:szCs w:val="26"/>
        </w:rPr>
        <w:t xml:space="preserve">possible </w:t>
      </w:r>
      <w:r w:rsidR="00B367DB" w:rsidRPr="00EB3F80">
        <w:rPr>
          <w:sz w:val="26"/>
          <w:szCs w:val="26"/>
        </w:rPr>
        <w:t xml:space="preserve">thermal mass values would be impractical.  </w:t>
      </w:r>
    </w:p>
    <w:p w:rsidR="005E479B" w:rsidRPr="00EB3F80" w:rsidRDefault="005E479B" w:rsidP="00F91662">
      <w:pPr>
        <w:pStyle w:val="p3"/>
        <w:tabs>
          <w:tab w:val="clear" w:pos="204"/>
        </w:tabs>
        <w:spacing w:line="360" w:lineRule="auto"/>
        <w:ind w:firstLine="720"/>
        <w:rPr>
          <w:sz w:val="26"/>
          <w:szCs w:val="26"/>
        </w:rPr>
      </w:pPr>
    </w:p>
    <w:p w:rsidR="00D00180" w:rsidRPr="00EB3F80" w:rsidRDefault="00542232" w:rsidP="00F91662">
      <w:pPr>
        <w:pStyle w:val="p3"/>
        <w:tabs>
          <w:tab w:val="clear" w:pos="204"/>
        </w:tabs>
        <w:spacing w:line="360" w:lineRule="auto"/>
        <w:ind w:firstLine="720"/>
        <w:rPr>
          <w:sz w:val="26"/>
          <w:szCs w:val="26"/>
        </w:rPr>
      </w:pPr>
      <w:r w:rsidRPr="00EB3F80">
        <w:rPr>
          <w:sz w:val="26"/>
          <w:szCs w:val="26"/>
        </w:rPr>
        <w:t>Regarding PECO’s comments concerning t</w:t>
      </w:r>
      <w:r w:rsidR="00973718" w:rsidRPr="00EB3F80">
        <w:rPr>
          <w:sz w:val="26"/>
          <w:szCs w:val="26"/>
        </w:rPr>
        <w:t>he applicability of algorithms stated in 3.6.1</w:t>
      </w:r>
      <w:r w:rsidRPr="00EB3F80">
        <w:rPr>
          <w:sz w:val="26"/>
          <w:szCs w:val="26"/>
        </w:rPr>
        <w:t xml:space="preserve">, the Commission believes these were </w:t>
      </w:r>
      <w:r w:rsidR="00973718" w:rsidRPr="00EB3F80">
        <w:rPr>
          <w:sz w:val="26"/>
          <w:szCs w:val="26"/>
        </w:rPr>
        <w:t xml:space="preserve">not intended </w:t>
      </w:r>
      <w:r w:rsidR="009F34FE">
        <w:rPr>
          <w:sz w:val="26"/>
          <w:szCs w:val="26"/>
        </w:rPr>
        <w:t xml:space="preserve">to include </w:t>
      </w:r>
      <w:r w:rsidR="00E34EF9">
        <w:rPr>
          <w:sz w:val="26"/>
          <w:szCs w:val="26"/>
        </w:rPr>
        <w:t>R</w:t>
      </w:r>
      <w:r w:rsidR="009F34FE">
        <w:rPr>
          <w:sz w:val="26"/>
          <w:szCs w:val="26"/>
        </w:rPr>
        <w:t>oom AC, which is typically considered a residential measure</w:t>
      </w:r>
      <w:r w:rsidR="00E34EF9">
        <w:rPr>
          <w:sz w:val="26"/>
          <w:szCs w:val="26"/>
        </w:rPr>
        <w:t xml:space="preserve">.  Therefore, the Commission has removed the reference to Room AC in Section 3.6.1: Algorithms.  </w:t>
      </w:r>
    </w:p>
    <w:p w:rsidR="00D00180" w:rsidRPr="00EB3F80" w:rsidRDefault="00D00180" w:rsidP="00F91662">
      <w:pPr>
        <w:pStyle w:val="p3"/>
        <w:tabs>
          <w:tab w:val="clear" w:pos="204"/>
        </w:tabs>
        <w:spacing w:line="360" w:lineRule="auto"/>
        <w:ind w:firstLine="720"/>
        <w:rPr>
          <w:sz w:val="26"/>
          <w:szCs w:val="26"/>
        </w:rPr>
      </w:pPr>
    </w:p>
    <w:p w:rsidR="00BC3BEB" w:rsidRPr="00EB3F80" w:rsidRDefault="005E2F2F" w:rsidP="00F91662">
      <w:pPr>
        <w:pStyle w:val="p3"/>
        <w:tabs>
          <w:tab w:val="clear" w:pos="204"/>
          <w:tab w:val="left" w:pos="720"/>
        </w:tabs>
        <w:spacing w:line="360" w:lineRule="auto"/>
        <w:rPr>
          <w:sz w:val="26"/>
          <w:szCs w:val="26"/>
        </w:rPr>
      </w:pPr>
      <w:r w:rsidRPr="00EB3F80">
        <w:rPr>
          <w:sz w:val="26"/>
          <w:szCs w:val="26"/>
        </w:rPr>
        <w:tab/>
      </w:r>
      <w:r w:rsidR="00723DA2" w:rsidRPr="00EB3F80">
        <w:rPr>
          <w:sz w:val="26"/>
          <w:szCs w:val="26"/>
        </w:rPr>
        <w:t xml:space="preserve">The Commission rejects PPL’s request to add conversion factors in </w:t>
      </w:r>
      <w:r w:rsidR="00661C97" w:rsidRPr="00EB3F80">
        <w:rPr>
          <w:sz w:val="26"/>
          <w:szCs w:val="26"/>
        </w:rPr>
        <w:t>S</w:t>
      </w:r>
      <w:r w:rsidR="00723DA2" w:rsidRPr="00EB3F80">
        <w:rPr>
          <w:sz w:val="26"/>
          <w:szCs w:val="26"/>
        </w:rPr>
        <w:t xml:space="preserve">ection 3.6 for SEER and EER and for HSPF and COP. </w:t>
      </w:r>
      <w:r w:rsidR="00C06262">
        <w:rPr>
          <w:sz w:val="26"/>
          <w:szCs w:val="26"/>
        </w:rPr>
        <w:t xml:space="preserve"> </w:t>
      </w:r>
      <w:r w:rsidR="00723DA2" w:rsidRPr="00EB3F80">
        <w:rPr>
          <w:sz w:val="26"/>
          <w:szCs w:val="26"/>
        </w:rPr>
        <w:t xml:space="preserve">SEER and HSPF measure a seasonal efficiency across the entire cooling and heating seasons, whereas EER and COP measure an </w:t>
      </w:r>
      <w:r w:rsidR="00723DA2" w:rsidRPr="00EB3F80">
        <w:rPr>
          <w:sz w:val="26"/>
          <w:szCs w:val="26"/>
        </w:rPr>
        <w:lastRenderedPageBreak/>
        <w:t xml:space="preserve">instantaneous efficiency at a single operating point. </w:t>
      </w:r>
      <w:r w:rsidR="00C06262">
        <w:rPr>
          <w:sz w:val="26"/>
          <w:szCs w:val="26"/>
        </w:rPr>
        <w:t xml:space="preserve"> </w:t>
      </w:r>
      <w:r w:rsidR="00723DA2" w:rsidRPr="00EB3F80">
        <w:rPr>
          <w:sz w:val="26"/>
          <w:szCs w:val="26"/>
        </w:rPr>
        <w:t xml:space="preserve">Standard testing procedures to determine seasonal efficiencies and instantaneous efficiencies use differing testing conditions. </w:t>
      </w:r>
      <w:r w:rsidR="00C06262">
        <w:rPr>
          <w:sz w:val="26"/>
          <w:szCs w:val="26"/>
        </w:rPr>
        <w:t xml:space="preserve"> </w:t>
      </w:r>
      <w:r w:rsidR="00723DA2" w:rsidRPr="00EB3F80">
        <w:rPr>
          <w:sz w:val="26"/>
          <w:szCs w:val="26"/>
        </w:rPr>
        <w:t>Therefore, there is no exact conversion factor</w:t>
      </w:r>
      <w:r w:rsidR="00661C97" w:rsidRPr="00EB3F80">
        <w:rPr>
          <w:sz w:val="26"/>
          <w:szCs w:val="26"/>
        </w:rPr>
        <w:t>.</w:t>
      </w:r>
      <w:r w:rsidR="00723DA2" w:rsidRPr="00EB3F80">
        <w:rPr>
          <w:rStyle w:val="FootnoteReference"/>
          <w:sz w:val="26"/>
          <w:szCs w:val="26"/>
        </w:rPr>
        <w:footnoteReference w:id="21"/>
      </w:r>
      <w:r w:rsidR="00723DA2" w:rsidRPr="00EB3F80">
        <w:rPr>
          <w:sz w:val="26"/>
          <w:szCs w:val="26"/>
        </w:rPr>
        <w:t xml:space="preserve"> </w:t>
      </w:r>
      <w:r w:rsidR="00C06262">
        <w:rPr>
          <w:sz w:val="26"/>
          <w:szCs w:val="26"/>
        </w:rPr>
        <w:t xml:space="preserve"> </w:t>
      </w:r>
      <w:r w:rsidR="00723DA2" w:rsidRPr="00EB3F80">
        <w:rPr>
          <w:sz w:val="26"/>
          <w:szCs w:val="26"/>
        </w:rPr>
        <w:t xml:space="preserve">Other jurisdictions have made attempts at </w:t>
      </w:r>
      <w:r w:rsidR="00F9037C" w:rsidRPr="00EB3F80">
        <w:rPr>
          <w:sz w:val="26"/>
          <w:szCs w:val="26"/>
        </w:rPr>
        <w:t>approximations;</w:t>
      </w:r>
      <w:r w:rsidR="00723DA2" w:rsidRPr="00EB3F80">
        <w:rPr>
          <w:sz w:val="26"/>
          <w:szCs w:val="26"/>
        </w:rPr>
        <w:t xml:space="preserve"> however the appropriate conversion factors vary due to differences in seasonal weather profiles. </w:t>
      </w:r>
      <w:r w:rsidR="00C06262">
        <w:rPr>
          <w:sz w:val="26"/>
          <w:szCs w:val="26"/>
        </w:rPr>
        <w:t xml:space="preserve"> </w:t>
      </w:r>
      <w:r w:rsidR="00723DA2" w:rsidRPr="00EB3F80">
        <w:rPr>
          <w:sz w:val="26"/>
          <w:szCs w:val="26"/>
        </w:rPr>
        <w:t xml:space="preserve">In addition, the </w:t>
      </w:r>
      <w:r w:rsidRPr="00EB3F80">
        <w:rPr>
          <w:sz w:val="26"/>
          <w:szCs w:val="26"/>
        </w:rPr>
        <w:t>e</w:t>
      </w:r>
      <w:r w:rsidR="000269E3" w:rsidRPr="00EB3F80">
        <w:rPr>
          <w:sz w:val="26"/>
          <w:szCs w:val="26"/>
        </w:rPr>
        <w:t xml:space="preserve">fficiency values for equipment </w:t>
      </w:r>
      <w:r w:rsidR="00230D39" w:rsidRPr="00EB3F80">
        <w:rPr>
          <w:sz w:val="26"/>
          <w:szCs w:val="26"/>
        </w:rPr>
        <w:t>with capacities less than</w:t>
      </w:r>
      <w:r w:rsidR="000269E3" w:rsidRPr="00EB3F80">
        <w:rPr>
          <w:sz w:val="26"/>
          <w:szCs w:val="26"/>
        </w:rPr>
        <w:t xml:space="preserve"> 65,000 </w:t>
      </w:r>
      <w:proofErr w:type="spellStart"/>
      <w:r w:rsidR="000269E3" w:rsidRPr="00EB3F80">
        <w:rPr>
          <w:sz w:val="26"/>
          <w:szCs w:val="26"/>
        </w:rPr>
        <w:t>Btuh</w:t>
      </w:r>
      <w:proofErr w:type="spellEnd"/>
      <w:r w:rsidR="000269E3" w:rsidRPr="00EB3F80">
        <w:rPr>
          <w:sz w:val="26"/>
          <w:szCs w:val="26"/>
        </w:rPr>
        <w:t xml:space="preserve"> are typically </w:t>
      </w:r>
      <w:r w:rsidR="00723DA2" w:rsidRPr="00EB3F80">
        <w:rPr>
          <w:sz w:val="26"/>
          <w:szCs w:val="26"/>
        </w:rPr>
        <w:t xml:space="preserve">specified </w:t>
      </w:r>
      <w:r w:rsidR="00230D39" w:rsidRPr="00EB3F80">
        <w:rPr>
          <w:sz w:val="26"/>
          <w:szCs w:val="26"/>
        </w:rPr>
        <w:t>in</w:t>
      </w:r>
      <w:r w:rsidR="00723DA2" w:rsidRPr="00EB3F80">
        <w:rPr>
          <w:sz w:val="26"/>
          <w:szCs w:val="26"/>
        </w:rPr>
        <w:t xml:space="preserve"> the appropriate units</w:t>
      </w:r>
      <w:r w:rsidR="00973718" w:rsidRPr="00EB3F80">
        <w:rPr>
          <w:sz w:val="26"/>
          <w:szCs w:val="26"/>
        </w:rPr>
        <w:t xml:space="preserve">. </w:t>
      </w:r>
      <w:r w:rsidR="00C06262">
        <w:rPr>
          <w:sz w:val="26"/>
          <w:szCs w:val="26"/>
        </w:rPr>
        <w:t xml:space="preserve"> </w:t>
      </w:r>
      <w:r w:rsidR="00973718" w:rsidRPr="00EB3F80">
        <w:rPr>
          <w:sz w:val="26"/>
          <w:szCs w:val="26"/>
        </w:rPr>
        <w:t>Therefore,</w:t>
      </w:r>
      <w:r w:rsidR="00723DA2" w:rsidRPr="00EB3F80">
        <w:rPr>
          <w:sz w:val="26"/>
          <w:szCs w:val="26"/>
        </w:rPr>
        <w:t xml:space="preserve"> </w:t>
      </w:r>
      <w:r w:rsidR="00B71835" w:rsidRPr="00EB3F80">
        <w:rPr>
          <w:sz w:val="26"/>
          <w:szCs w:val="26"/>
        </w:rPr>
        <w:t xml:space="preserve">the Commission deems this to </w:t>
      </w:r>
      <w:r w:rsidR="00723DA2" w:rsidRPr="00EB3F80">
        <w:rPr>
          <w:sz w:val="26"/>
          <w:szCs w:val="26"/>
        </w:rPr>
        <w:t>be an unproductive exercise</w:t>
      </w:r>
      <w:r w:rsidR="009F34FE">
        <w:rPr>
          <w:sz w:val="26"/>
          <w:szCs w:val="26"/>
        </w:rPr>
        <w:t xml:space="preserve">. </w:t>
      </w:r>
    </w:p>
    <w:p w:rsidR="00D00180" w:rsidRPr="00EB3F80" w:rsidRDefault="00D00180" w:rsidP="00F91662">
      <w:pPr>
        <w:pStyle w:val="p3"/>
        <w:tabs>
          <w:tab w:val="clear" w:pos="204"/>
        </w:tabs>
        <w:spacing w:line="360" w:lineRule="auto"/>
        <w:ind w:firstLine="720"/>
        <w:rPr>
          <w:sz w:val="26"/>
          <w:szCs w:val="26"/>
        </w:rPr>
      </w:pPr>
    </w:p>
    <w:p w:rsidR="00D00180" w:rsidRPr="00EB3F80" w:rsidRDefault="00E017C4" w:rsidP="00F91662">
      <w:pPr>
        <w:pStyle w:val="p3"/>
        <w:tabs>
          <w:tab w:val="clear" w:pos="204"/>
        </w:tabs>
        <w:spacing w:line="360" w:lineRule="auto"/>
        <w:ind w:firstLine="720"/>
        <w:rPr>
          <w:sz w:val="26"/>
          <w:szCs w:val="26"/>
        </w:rPr>
      </w:pPr>
      <w:proofErr w:type="gramStart"/>
      <w:r w:rsidRPr="00EB3F80">
        <w:rPr>
          <w:sz w:val="26"/>
          <w:szCs w:val="26"/>
        </w:rPr>
        <w:t>Regarding PECO’s request for modifications to Table 3-20</w:t>
      </w:r>
      <w:r w:rsidR="00EA1000">
        <w:rPr>
          <w:sz w:val="26"/>
          <w:szCs w:val="26"/>
        </w:rPr>
        <w:t xml:space="preserve">: </w:t>
      </w:r>
      <w:r w:rsidR="00723DA2" w:rsidRPr="00EB3F80">
        <w:rPr>
          <w:sz w:val="26"/>
          <w:szCs w:val="26"/>
        </w:rPr>
        <w:t>Variables for HVAC Systems</w:t>
      </w:r>
      <w:r w:rsidRPr="00EB3F80">
        <w:rPr>
          <w:sz w:val="26"/>
          <w:szCs w:val="26"/>
        </w:rPr>
        <w:t xml:space="preserve">, </w:t>
      </w:r>
      <w:r w:rsidR="006E440E" w:rsidRPr="00EB3F80">
        <w:rPr>
          <w:sz w:val="26"/>
          <w:szCs w:val="26"/>
        </w:rPr>
        <w:t xml:space="preserve">most </w:t>
      </w:r>
      <w:bookmarkStart w:id="0" w:name="_GoBack"/>
      <w:bookmarkEnd w:id="0"/>
      <w:r w:rsidR="00230D39" w:rsidRPr="00EB3F80">
        <w:rPr>
          <w:sz w:val="26"/>
          <w:szCs w:val="26"/>
        </w:rPr>
        <w:t>values and references</w:t>
      </w:r>
      <w:r w:rsidR="00723DA2" w:rsidRPr="00EB3F80">
        <w:rPr>
          <w:sz w:val="26"/>
          <w:szCs w:val="26"/>
        </w:rPr>
        <w:t xml:space="preserve"> </w:t>
      </w:r>
      <w:r w:rsidR="008927AA">
        <w:rPr>
          <w:sz w:val="26"/>
          <w:szCs w:val="26"/>
        </w:rPr>
        <w:t>were</w:t>
      </w:r>
      <w:r w:rsidR="00230D39" w:rsidRPr="00EB3F80">
        <w:rPr>
          <w:sz w:val="26"/>
          <w:szCs w:val="26"/>
        </w:rPr>
        <w:t xml:space="preserve"> inherited from the original 2009 TRM.</w:t>
      </w:r>
      <w:proofErr w:type="gramEnd"/>
      <w:r w:rsidR="00230D39" w:rsidRPr="00EB3F80">
        <w:rPr>
          <w:sz w:val="26"/>
          <w:szCs w:val="26"/>
        </w:rPr>
        <w:t xml:space="preserve"> </w:t>
      </w:r>
      <w:r w:rsidR="00831D98" w:rsidRPr="00EB3F80">
        <w:rPr>
          <w:sz w:val="26"/>
          <w:szCs w:val="26"/>
        </w:rPr>
        <w:t xml:space="preserve"> </w:t>
      </w:r>
      <w:r w:rsidR="00230D39" w:rsidRPr="00EB3F80">
        <w:rPr>
          <w:sz w:val="26"/>
          <w:szCs w:val="26"/>
        </w:rPr>
        <w:t xml:space="preserve">The cooling allocation factor and heating allocation factor </w:t>
      </w:r>
      <w:r w:rsidR="008927AA">
        <w:rPr>
          <w:sz w:val="26"/>
          <w:szCs w:val="26"/>
        </w:rPr>
        <w:t>were</w:t>
      </w:r>
      <w:r w:rsidR="00230D39" w:rsidRPr="00EB3F80">
        <w:rPr>
          <w:sz w:val="26"/>
          <w:szCs w:val="26"/>
        </w:rPr>
        <w:t xml:space="preserve"> remnants from the old protocol </w:t>
      </w:r>
      <w:r w:rsidR="0096266E" w:rsidRPr="00EB3F80">
        <w:rPr>
          <w:sz w:val="26"/>
          <w:szCs w:val="26"/>
        </w:rPr>
        <w:t xml:space="preserve">and </w:t>
      </w:r>
      <w:r w:rsidR="00230D39" w:rsidRPr="00EB3F80">
        <w:rPr>
          <w:sz w:val="26"/>
          <w:szCs w:val="26"/>
        </w:rPr>
        <w:t xml:space="preserve">no longer apply. </w:t>
      </w:r>
      <w:r w:rsidR="00831D98" w:rsidRPr="00EB3F80">
        <w:rPr>
          <w:sz w:val="26"/>
          <w:szCs w:val="26"/>
        </w:rPr>
        <w:t xml:space="preserve"> </w:t>
      </w:r>
      <w:r w:rsidR="00230D39" w:rsidRPr="00EB3F80">
        <w:rPr>
          <w:sz w:val="26"/>
          <w:szCs w:val="26"/>
        </w:rPr>
        <w:t xml:space="preserve">These factors have been deleted </w:t>
      </w:r>
      <w:r w:rsidR="0096266E" w:rsidRPr="00EB3F80">
        <w:rPr>
          <w:sz w:val="26"/>
          <w:szCs w:val="26"/>
        </w:rPr>
        <w:t>from the TRM</w:t>
      </w:r>
      <w:r w:rsidR="00230D39" w:rsidRPr="00EB3F80">
        <w:rPr>
          <w:sz w:val="26"/>
          <w:szCs w:val="26"/>
        </w:rPr>
        <w:t>.</w:t>
      </w:r>
      <w:r w:rsidR="00C06262">
        <w:rPr>
          <w:sz w:val="26"/>
          <w:szCs w:val="26"/>
        </w:rPr>
        <w:t xml:space="preserve">  Modifications to the stipulated values and references, such as the IF, </w:t>
      </w:r>
      <w:r w:rsidR="008927AA">
        <w:rPr>
          <w:sz w:val="26"/>
          <w:szCs w:val="26"/>
        </w:rPr>
        <w:t>will be</w:t>
      </w:r>
      <w:r w:rsidR="00C06262">
        <w:rPr>
          <w:sz w:val="26"/>
          <w:szCs w:val="26"/>
        </w:rPr>
        <w:t xml:space="preserve"> referred to the TWG for discussion and recommendations.</w:t>
      </w:r>
    </w:p>
    <w:p w:rsidR="00D00180" w:rsidRPr="00EB3F80" w:rsidRDefault="00D00180" w:rsidP="00F91662">
      <w:pPr>
        <w:pStyle w:val="p3"/>
        <w:tabs>
          <w:tab w:val="clear" w:pos="204"/>
        </w:tabs>
        <w:spacing w:line="360" w:lineRule="auto"/>
        <w:ind w:left="720"/>
        <w:rPr>
          <w:sz w:val="26"/>
          <w:szCs w:val="26"/>
        </w:rPr>
      </w:pPr>
    </w:p>
    <w:p w:rsidR="00723DA2" w:rsidRPr="00EB3F80" w:rsidRDefault="00723DA2" w:rsidP="00F91662">
      <w:pPr>
        <w:pStyle w:val="p3"/>
        <w:tabs>
          <w:tab w:val="clear" w:pos="204"/>
        </w:tabs>
        <w:spacing w:line="360" w:lineRule="auto"/>
        <w:ind w:firstLine="720"/>
        <w:rPr>
          <w:sz w:val="26"/>
          <w:szCs w:val="26"/>
        </w:rPr>
      </w:pPr>
      <w:r w:rsidRPr="00EB3F80">
        <w:rPr>
          <w:sz w:val="26"/>
          <w:szCs w:val="26"/>
        </w:rPr>
        <w:t xml:space="preserve">PECO recommended several modifications </w:t>
      </w:r>
      <w:r w:rsidR="00782C35" w:rsidRPr="00EB3F80">
        <w:rPr>
          <w:sz w:val="26"/>
          <w:szCs w:val="26"/>
        </w:rPr>
        <w:t>to Table 3-21 related to baseline SEER, EER, and IPLV Values</w:t>
      </w:r>
      <w:r w:rsidRPr="00EB3F80">
        <w:rPr>
          <w:sz w:val="26"/>
          <w:szCs w:val="26"/>
        </w:rPr>
        <w:t xml:space="preserve"> and the addition of a measure for New Construction. </w:t>
      </w:r>
      <w:r w:rsidR="0014640B">
        <w:rPr>
          <w:sz w:val="26"/>
          <w:szCs w:val="26"/>
        </w:rPr>
        <w:t xml:space="preserve"> </w:t>
      </w:r>
      <w:r w:rsidRPr="00EB3F80">
        <w:rPr>
          <w:sz w:val="26"/>
          <w:szCs w:val="26"/>
        </w:rPr>
        <w:t>All of the recommended changes are consistent with IECC 2009 HVAC code, which is the basis of Table 3-21</w:t>
      </w:r>
      <w:r w:rsidR="005E5AEE">
        <w:rPr>
          <w:sz w:val="26"/>
          <w:szCs w:val="26"/>
        </w:rPr>
        <w:t xml:space="preserve">, </w:t>
      </w:r>
      <w:r w:rsidR="00033FF3" w:rsidRPr="00EB3F80">
        <w:rPr>
          <w:sz w:val="26"/>
          <w:szCs w:val="26"/>
        </w:rPr>
        <w:t>and the TRM has been updated accordingly</w:t>
      </w:r>
      <w:r w:rsidR="00B867DD" w:rsidRPr="00EB3F80">
        <w:rPr>
          <w:sz w:val="26"/>
          <w:szCs w:val="26"/>
        </w:rPr>
        <w:t>.</w:t>
      </w:r>
      <w:r w:rsidR="00033FF3" w:rsidRPr="00EB3F80">
        <w:rPr>
          <w:sz w:val="26"/>
          <w:szCs w:val="26"/>
        </w:rPr>
        <w:t xml:space="preserve"> </w:t>
      </w:r>
      <w:r w:rsidR="00B867DD" w:rsidRPr="00EB3F80">
        <w:rPr>
          <w:sz w:val="26"/>
          <w:szCs w:val="26"/>
        </w:rPr>
        <w:t xml:space="preserve"> </w:t>
      </w:r>
    </w:p>
    <w:p w:rsidR="00723DA2" w:rsidRPr="00EB3F80" w:rsidRDefault="00723DA2" w:rsidP="00F91662">
      <w:pPr>
        <w:pStyle w:val="p3"/>
        <w:tabs>
          <w:tab w:val="clear" w:pos="204"/>
        </w:tabs>
        <w:spacing w:line="360" w:lineRule="auto"/>
        <w:ind w:firstLine="720"/>
        <w:rPr>
          <w:sz w:val="26"/>
          <w:szCs w:val="26"/>
        </w:rPr>
      </w:pPr>
    </w:p>
    <w:p w:rsidR="00D00180" w:rsidRPr="00EB3F80" w:rsidRDefault="009F34FE" w:rsidP="00F91662">
      <w:pPr>
        <w:pStyle w:val="p3"/>
        <w:tabs>
          <w:tab w:val="clear" w:pos="204"/>
        </w:tabs>
        <w:spacing w:line="360" w:lineRule="auto"/>
        <w:ind w:firstLine="720"/>
        <w:rPr>
          <w:sz w:val="26"/>
          <w:szCs w:val="26"/>
        </w:rPr>
      </w:pPr>
      <w:r>
        <w:rPr>
          <w:sz w:val="26"/>
          <w:szCs w:val="26"/>
        </w:rPr>
        <w:t xml:space="preserve">The Commission refers PPL’s comment regarding the appropriate baseline for Ground-Source Heat Pump, Groundwater-Source Heat Pump, and Water-Source Heat Pump to the TWG. </w:t>
      </w:r>
      <w:r w:rsidR="0014640B">
        <w:rPr>
          <w:sz w:val="26"/>
          <w:szCs w:val="26"/>
        </w:rPr>
        <w:t xml:space="preserve"> </w:t>
      </w:r>
      <w:r>
        <w:rPr>
          <w:sz w:val="26"/>
          <w:szCs w:val="26"/>
        </w:rPr>
        <w:t>Due to differences in load profiles, levels of equipment penetration, and program design between the residential and commercial sectors, the residential baseline may not be appropriate for the commercial baseline</w:t>
      </w:r>
      <w:r w:rsidR="008E2AD7">
        <w:rPr>
          <w:sz w:val="26"/>
          <w:szCs w:val="26"/>
        </w:rPr>
        <w:t>, and, therefore, requires further review</w:t>
      </w:r>
      <w:r>
        <w:rPr>
          <w:sz w:val="26"/>
          <w:szCs w:val="26"/>
        </w:rPr>
        <w:t xml:space="preserve">. </w:t>
      </w:r>
      <w:r w:rsidR="0014640B">
        <w:rPr>
          <w:sz w:val="26"/>
          <w:szCs w:val="26"/>
        </w:rPr>
        <w:t xml:space="preserve"> The TWG will review the baselines and provide recommendations to the </w:t>
      </w:r>
      <w:r w:rsidR="0014640B">
        <w:rPr>
          <w:sz w:val="26"/>
          <w:szCs w:val="26"/>
        </w:rPr>
        <w:lastRenderedPageBreak/>
        <w:t>Commission for future TRM updates.  The TWG will do the same for ASHPs and room air conditioners in commercial buildings.</w:t>
      </w:r>
    </w:p>
    <w:p w:rsidR="00D00180" w:rsidRPr="00EB3F80" w:rsidRDefault="00D00180" w:rsidP="00F91662">
      <w:pPr>
        <w:pStyle w:val="p3"/>
        <w:tabs>
          <w:tab w:val="clear" w:pos="204"/>
        </w:tabs>
        <w:spacing w:line="360" w:lineRule="auto"/>
        <w:ind w:left="720"/>
        <w:rPr>
          <w:sz w:val="26"/>
          <w:szCs w:val="26"/>
        </w:rPr>
      </w:pPr>
    </w:p>
    <w:p w:rsidR="00D00180" w:rsidRPr="00EB3F80" w:rsidRDefault="002A6DD1" w:rsidP="00F91662">
      <w:pPr>
        <w:pStyle w:val="p3"/>
        <w:tabs>
          <w:tab w:val="clear" w:pos="204"/>
        </w:tabs>
        <w:spacing w:line="360" w:lineRule="auto"/>
        <w:ind w:firstLine="720"/>
        <w:rPr>
          <w:sz w:val="26"/>
          <w:szCs w:val="26"/>
        </w:rPr>
      </w:pPr>
      <w:r w:rsidRPr="00EB3F80">
        <w:rPr>
          <w:sz w:val="26"/>
          <w:szCs w:val="26"/>
        </w:rPr>
        <w:t>The Commission considered PECO’s suggestion to add zip code mapping for Tables 3-22</w:t>
      </w:r>
      <w:r w:rsidR="0014640B">
        <w:rPr>
          <w:sz w:val="26"/>
          <w:szCs w:val="26"/>
        </w:rPr>
        <w:t>, as well as t</w:t>
      </w:r>
      <w:r w:rsidR="0014640B" w:rsidRPr="00EB3F80">
        <w:rPr>
          <w:sz w:val="26"/>
          <w:szCs w:val="26"/>
        </w:rPr>
        <w:t>he addition of Allentown to Tables 3-22, 3-26, and 3-56</w:t>
      </w:r>
      <w:r w:rsidR="0014640B">
        <w:rPr>
          <w:sz w:val="26"/>
          <w:szCs w:val="26"/>
        </w:rPr>
        <w:t>,</w:t>
      </w:r>
      <w:r w:rsidR="0014640B" w:rsidRPr="00EB3F80">
        <w:rPr>
          <w:sz w:val="26"/>
          <w:szCs w:val="26"/>
        </w:rPr>
        <w:t xml:space="preserve"> </w:t>
      </w:r>
      <w:r w:rsidR="0014640B">
        <w:rPr>
          <w:sz w:val="26"/>
          <w:szCs w:val="26"/>
        </w:rPr>
        <w:t xml:space="preserve">and </w:t>
      </w:r>
      <w:r w:rsidRPr="00EB3F80">
        <w:rPr>
          <w:sz w:val="26"/>
          <w:szCs w:val="26"/>
        </w:rPr>
        <w:t xml:space="preserve">refers this issue to the TWG for consideration and </w:t>
      </w:r>
      <w:r w:rsidR="0014640B">
        <w:rPr>
          <w:sz w:val="26"/>
          <w:szCs w:val="26"/>
        </w:rPr>
        <w:t>recommendations</w:t>
      </w:r>
      <w:r w:rsidRPr="00EB3F80">
        <w:rPr>
          <w:sz w:val="26"/>
          <w:szCs w:val="26"/>
        </w:rPr>
        <w:t>.</w:t>
      </w:r>
      <w:r w:rsidR="00F10ACC" w:rsidRPr="00EB3F80">
        <w:rPr>
          <w:sz w:val="26"/>
          <w:szCs w:val="26"/>
        </w:rPr>
        <w:t xml:space="preserve"> </w:t>
      </w:r>
    </w:p>
    <w:p w:rsidR="00410400" w:rsidRPr="00EB3F80" w:rsidRDefault="00410400" w:rsidP="006B5753">
      <w:pPr>
        <w:spacing w:line="360" w:lineRule="auto"/>
        <w:ind w:firstLine="720"/>
        <w:rPr>
          <w:b/>
          <w:sz w:val="26"/>
          <w:szCs w:val="26"/>
        </w:rPr>
      </w:pPr>
    </w:p>
    <w:p w:rsidR="00D00180" w:rsidRPr="00EB3F80" w:rsidRDefault="00C030A6" w:rsidP="0052550D">
      <w:pPr>
        <w:pStyle w:val="p3"/>
        <w:numPr>
          <w:ilvl w:val="0"/>
          <w:numId w:val="6"/>
        </w:numPr>
        <w:tabs>
          <w:tab w:val="clear" w:pos="204"/>
          <w:tab w:val="left" w:pos="720"/>
        </w:tabs>
        <w:spacing w:line="360" w:lineRule="auto"/>
        <w:ind w:left="720" w:hanging="720"/>
        <w:rPr>
          <w:b/>
          <w:sz w:val="26"/>
          <w:szCs w:val="26"/>
        </w:rPr>
      </w:pPr>
      <w:r w:rsidRPr="00EB3F80">
        <w:rPr>
          <w:b/>
          <w:sz w:val="26"/>
          <w:szCs w:val="26"/>
        </w:rPr>
        <w:t>New Codes and Standards</w:t>
      </w:r>
    </w:p>
    <w:p w:rsidR="00F04ADC" w:rsidRPr="00EB3F80" w:rsidRDefault="00F04ADC" w:rsidP="00F04ADC">
      <w:pPr>
        <w:pStyle w:val="p3"/>
        <w:tabs>
          <w:tab w:val="clear" w:pos="204"/>
          <w:tab w:val="left" w:pos="720"/>
        </w:tabs>
        <w:spacing w:line="360" w:lineRule="auto"/>
        <w:rPr>
          <w:sz w:val="26"/>
          <w:szCs w:val="26"/>
        </w:rPr>
      </w:pPr>
    </w:p>
    <w:p w:rsidR="00C030A6" w:rsidRPr="00EB3F80" w:rsidRDefault="00C030A6" w:rsidP="00C030A6">
      <w:pPr>
        <w:pStyle w:val="p3"/>
        <w:tabs>
          <w:tab w:val="clear" w:pos="204"/>
          <w:tab w:val="left" w:pos="720"/>
        </w:tabs>
        <w:spacing w:line="360" w:lineRule="auto"/>
        <w:rPr>
          <w:sz w:val="26"/>
          <w:szCs w:val="26"/>
        </w:rPr>
      </w:pPr>
      <w:r w:rsidRPr="00EB3F80">
        <w:rPr>
          <w:sz w:val="26"/>
          <w:szCs w:val="26"/>
        </w:rPr>
        <w:tab/>
        <w:t xml:space="preserve">The Commission </w:t>
      </w:r>
      <w:r w:rsidR="000E23F0" w:rsidRPr="00EB3F80">
        <w:rPr>
          <w:sz w:val="26"/>
          <w:szCs w:val="26"/>
        </w:rPr>
        <w:t>sought</w:t>
      </w:r>
      <w:r w:rsidRPr="00EB3F80">
        <w:rPr>
          <w:sz w:val="26"/>
          <w:szCs w:val="26"/>
        </w:rPr>
        <w:t xml:space="preserve"> input on how changes to </w:t>
      </w:r>
      <w:r w:rsidR="000E23F0" w:rsidRPr="00EB3F80">
        <w:rPr>
          <w:sz w:val="26"/>
          <w:szCs w:val="26"/>
        </w:rPr>
        <w:t>f</w:t>
      </w:r>
      <w:r w:rsidRPr="00EB3F80">
        <w:rPr>
          <w:sz w:val="26"/>
          <w:szCs w:val="26"/>
        </w:rPr>
        <w:t xml:space="preserve">ederal and </w:t>
      </w:r>
      <w:r w:rsidR="000E23F0" w:rsidRPr="00EB3F80">
        <w:rPr>
          <w:sz w:val="26"/>
          <w:szCs w:val="26"/>
        </w:rPr>
        <w:t>s</w:t>
      </w:r>
      <w:r w:rsidRPr="00EB3F80">
        <w:rPr>
          <w:sz w:val="26"/>
          <w:szCs w:val="26"/>
        </w:rPr>
        <w:t xml:space="preserve">tate standards should affect the TRM. </w:t>
      </w:r>
      <w:r w:rsidR="0014640B">
        <w:rPr>
          <w:sz w:val="26"/>
          <w:szCs w:val="26"/>
        </w:rPr>
        <w:t xml:space="preserve"> </w:t>
      </w:r>
      <w:r w:rsidRPr="00EB3F80">
        <w:rPr>
          <w:sz w:val="26"/>
          <w:szCs w:val="26"/>
        </w:rPr>
        <w:t xml:space="preserve">EPAct 2005 affects lighting standards, EISA 2007 affects </w:t>
      </w:r>
      <w:r w:rsidR="00F919E7">
        <w:rPr>
          <w:sz w:val="26"/>
          <w:szCs w:val="26"/>
        </w:rPr>
        <w:t xml:space="preserve">lighting, appliance and </w:t>
      </w:r>
      <w:r w:rsidRPr="00EB3F80">
        <w:rPr>
          <w:sz w:val="26"/>
          <w:szCs w:val="26"/>
        </w:rPr>
        <w:t>motor standards, and IECC 2009 affects HVAC standards.</w:t>
      </w:r>
    </w:p>
    <w:p w:rsidR="00C030A6" w:rsidRPr="00EB3F80" w:rsidRDefault="00C030A6" w:rsidP="00F04ADC">
      <w:pPr>
        <w:pStyle w:val="p3"/>
        <w:tabs>
          <w:tab w:val="clear" w:pos="204"/>
          <w:tab w:val="left" w:pos="720"/>
        </w:tabs>
        <w:spacing w:line="360" w:lineRule="auto"/>
        <w:rPr>
          <w:sz w:val="26"/>
          <w:szCs w:val="26"/>
        </w:rPr>
      </w:pPr>
    </w:p>
    <w:p w:rsidR="00C030A6" w:rsidRPr="00EB3F80" w:rsidRDefault="00C030A6" w:rsidP="0052550D">
      <w:pPr>
        <w:pStyle w:val="p3"/>
        <w:numPr>
          <w:ilvl w:val="0"/>
          <w:numId w:val="12"/>
        </w:numPr>
        <w:tabs>
          <w:tab w:val="clear" w:pos="204"/>
          <w:tab w:val="left" w:pos="720"/>
        </w:tabs>
        <w:spacing w:line="360" w:lineRule="auto"/>
        <w:ind w:left="1440" w:hanging="720"/>
        <w:rPr>
          <w:b/>
          <w:sz w:val="26"/>
          <w:szCs w:val="26"/>
        </w:rPr>
      </w:pPr>
      <w:r w:rsidRPr="00EB3F80">
        <w:rPr>
          <w:b/>
          <w:sz w:val="26"/>
          <w:szCs w:val="26"/>
        </w:rPr>
        <w:t>Federal Legislation and Regulations Related to Lighting</w:t>
      </w:r>
    </w:p>
    <w:p w:rsidR="00AF2434" w:rsidRDefault="00AF2434" w:rsidP="00AF2434">
      <w:pPr>
        <w:spacing w:line="360" w:lineRule="auto"/>
        <w:ind w:firstLine="720"/>
        <w:rPr>
          <w:sz w:val="26"/>
          <w:szCs w:val="26"/>
        </w:rPr>
      </w:pPr>
      <w:r>
        <w:rPr>
          <w:sz w:val="26"/>
          <w:szCs w:val="26"/>
        </w:rPr>
        <w:tab/>
      </w:r>
    </w:p>
    <w:p w:rsidR="00AF2434" w:rsidRDefault="00AF2434" w:rsidP="00AF2434">
      <w:pPr>
        <w:spacing w:line="360" w:lineRule="auto"/>
        <w:ind w:firstLine="720"/>
        <w:rPr>
          <w:sz w:val="26"/>
          <w:szCs w:val="26"/>
        </w:rPr>
      </w:pPr>
      <w:r w:rsidRPr="00755D49">
        <w:rPr>
          <w:sz w:val="26"/>
          <w:szCs w:val="26"/>
        </w:rPr>
        <w:t>The Illuminating Engineering Society of North America</w:t>
      </w:r>
      <w:r>
        <w:rPr>
          <w:sz w:val="26"/>
          <w:szCs w:val="26"/>
        </w:rPr>
        <w:t xml:space="preserve"> (“IESNA”)</w:t>
      </w:r>
      <w:r w:rsidRPr="00755D49">
        <w:rPr>
          <w:sz w:val="26"/>
          <w:szCs w:val="26"/>
        </w:rPr>
        <w:t xml:space="preserve"> 2007 standards require that lighting in newly constructed commercial buildings and additions to commercial buildings adheres to the following</w:t>
      </w:r>
      <w:r w:rsidRPr="00EB3F80">
        <w:rPr>
          <w:rStyle w:val="FootnoteReference"/>
          <w:sz w:val="26"/>
          <w:szCs w:val="26"/>
        </w:rPr>
        <w:footnoteReference w:id="22"/>
      </w:r>
      <w:r w:rsidRPr="00EB3F80">
        <w:rPr>
          <w:sz w:val="26"/>
          <w:szCs w:val="26"/>
        </w:rPr>
        <w:t>:</w:t>
      </w:r>
    </w:p>
    <w:p w:rsidR="00AF2434" w:rsidRDefault="00AF2434" w:rsidP="00AF2434">
      <w:pPr>
        <w:spacing w:line="360" w:lineRule="auto"/>
        <w:ind w:firstLine="720"/>
        <w:rPr>
          <w:sz w:val="26"/>
          <w:szCs w:val="26"/>
        </w:rPr>
      </w:pPr>
    </w:p>
    <w:p w:rsidR="00AF2434" w:rsidRPr="00EB3F80" w:rsidRDefault="00AF2434" w:rsidP="0052550D">
      <w:pPr>
        <w:numPr>
          <w:ilvl w:val="0"/>
          <w:numId w:val="13"/>
        </w:numPr>
        <w:rPr>
          <w:sz w:val="26"/>
          <w:szCs w:val="26"/>
        </w:rPr>
      </w:pPr>
      <w:r w:rsidRPr="00EB3F80">
        <w:rPr>
          <w:sz w:val="26"/>
          <w:szCs w:val="26"/>
        </w:rPr>
        <w:t>Magnetic ballasts are to be phased out</w:t>
      </w:r>
      <w:r w:rsidR="00CC45A0">
        <w:rPr>
          <w:sz w:val="26"/>
          <w:szCs w:val="26"/>
        </w:rPr>
        <w:t>;</w:t>
      </w:r>
    </w:p>
    <w:p w:rsidR="00AF2434" w:rsidRPr="00EB3F80" w:rsidRDefault="00AF2434" w:rsidP="0052550D">
      <w:pPr>
        <w:numPr>
          <w:ilvl w:val="0"/>
          <w:numId w:val="13"/>
        </w:numPr>
        <w:rPr>
          <w:sz w:val="26"/>
          <w:szCs w:val="26"/>
        </w:rPr>
      </w:pPr>
      <w:r w:rsidRPr="00EB3F80">
        <w:rPr>
          <w:sz w:val="26"/>
          <w:szCs w:val="26"/>
        </w:rPr>
        <w:t>Occupancy sensors are required in classrooms, conference rooms, and break rooms</w:t>
      </w:r>
      <w:r w:rsidR="00CC45A0">
        <w:rPr>
          <w:sz w:val="26"/>
          <w:szCs w:val="26"/>
        </w:rPr>
        <w:t>;</w:t>
      </w:r>
    </w:p>
    <w:p w:rsidR="00AF2434" w:rsidRPr="00EB3F80" w:rsidRDefault="00AF2434" w:rsidP="0052550D">
      <w:pPr>
        <w:numPr>
          <w:ilvl w:val="0"/>
          <w:numId w:val="13"/>
        </w:numPr>
        <w:rPr>
          <w:sz w:val="26"/>
          <w:szCs w:val="26"/>
        </w:rPr>
      </w:pPr>
      <w:r w:rsidRPr="00EB3F80">
        <w:rPr>
          <w:sz w:val="26"/>
          <w:szCs w:val="26"/>
        </w:rPr>
        <w:t>Automatic lighting shutoff is required for all buildings larger than 5,000 square feet</w:t>
      </w:r>
      <w:r w:rsidR="00CC45A0">
        <w:rPr>
          <w:sz w:val="26"/>
          <w:szCs w:val="26"/>
        </w:rPr>
        <w:t>;</w:t>
      </w:r>
    </w:p>
    <w:p w:rsidR="00AF2434" w:rsidRPr="00EB3F80" w:rsidRDefault="00AF2434" w:rsidP="0052550D">
      <w:pPr>
        <w:numPr>
          <w:ilvl w:val="0"/>
          <w:numId w:val="13"/>
        </w:numPr>
        <w:rPr>
          <w:sz w:val="26"/>
          <w:szCs w:val="26"/>
        </w:rPr>
      </w:pPr>
      <w:r w:rsidRPr="00EB3F80">
        <w:rPr>
          <w:sz w:val="26"/>
          <w:szCs w:val="26"/>
        </w:rPr>
        <w:t xml:space="preserve">Exterior lighting must be controlled by a time switch or </w:t>
      </w:r>
      <w:proofErr w:type="spellStart"/>
      <w:r w:rsidRPr="00EB3F80">
        <w:rPr>
          <w:sz w:val="26"/>
          <w:szCs w:val="26"/>
        </w:rPr>
        <w:t>photosensor</w:t>
      </w:r>
      <w:proofErr w:type="spellEnd"/>
    </w:p>
    <w:p w:rsidR="00AF2434" w:rsidRPr="00EB3F80" w:rsidRDefault="00AF2434" w:rsidP="0052550D">
      <w:pPr>
        <w:numPr>
          <w:ilvl w:val="0"/>
          <w:numId w:val="13"/>
        </w:numPr>
        <w:rPr>
          <w:sz w:val="26"/>
          <w:szCs w:val="26"/>
        </w:rPr>
      </w:pPr>
      <w:r w:rsidRPr="00EB3F80">
        <w:rPr>
          <w:sz w:val="26"/>
          <w:szCs w:val="26"/>
        </w:rPr>
        <w:t>Exit signs are limited to 5 Watts per face</w:t>
      </w:r>
      <w:r w:rsidR="00CC45A0">
        <w:rPr>
          <w:sz w:val="26"/>
          <w:szCs w:val="26"/>
        </w:rPr>
        <w:t>; and</w:t>
      </w:r>
    </w:p>
    <w:p w:rsidR="00AF2434" w:rsidRPr="00EB3F80" w:rsidRDefault="00AF2434" w:rsidP="0052550D">
      <w:pPr>
        <w:numPr>
          <w:ilvl w:val="0"/>
          <w:numId w:val="13"/>
        </w:numPr>
        <w:rPr>
          <w:sz w:val="26"/>
          <w:szCs w:val="26"/>
        </w:rPr>
      </w:pPr>
      <w:r w:rsidRPr="00EB3F80">
        <w:rPr>
          <w:sz w:val="26"/>
          <w:szCs w:val="26"/>
        </w:rPr>
        <w:t>Hotel/motel guest room lighting must be controlled at room entry</w:t>
      </w:r>
      <w:r w:rsidR="00CC45A0">
        <w:rPr>
          <w:sz w:val="26"/>
          <w:szCs w:val="26"/>
        </w:rPr>
        <w:t>.</w:t>
      </w:r>
    </w:p>
    <w:p w:rsidR="00C030A6" w:rsidRDefault="00C030A6" w:rsidP="00F04ADC">
      <w:pPr>
        <w:pStyle w:val="p3"/>
        <w:tabs>
          <w:tab w:val="clear" w:pos="204"/>
          <w:tab w:val="left" w:pos="720"/>
        </w:tabs>
        <w:spacing w:line="360" w:lineRule="auto"/>
        <w:rPr>
          <w:sz w:val="26"/>
          <w:szCs w:val="26"/>
        </w:rPr>
      </w:pPr>
    </w:p>
    <w:p w:rsidR="00AF2434" w:rsidRPr="00EB3F80" w:rsidRDefault="00AF2434" w:rsidP="00F04ADC">
      <w:pPr>
        <w:pStyle w:val="p3"/>
        <w:tabs>
          <w:tab w:val="clear" w:pos="204"/>
          <w:tab w:val="left" w:pos="720"/>
        </w:tabs>
        <w:spacing w:line="360" w:lineRule="auto"/>
        <w:rPr>
          <w:sz w:val="26"/>
          <w:szCs w:val="26"/>
        </w:rPr>
      </w:pPr>
    </w:p>
    <w:p w:rsidR="00F04ADC" w:rsidRPr="00EB3F80" w:rsidRDefault="00F04ADC" w:rsidP="00F04ADC">
      <w:pPr>
        <w:pStyle w:val="p3"/>
        <w:tabs>
          <w:tab w:val="clear" w:pos="204"/>
          <w:tab w:val="left" w:pos="720"/>
        </w:tabs>
        <w:spacing w:line="360" w:lineRule="auto"/>
        <w:rPr>
          <w:sz w:val="26"/>
          <w:szCs w:val="26"/>
        </w:rPr>
      </w:pPr>
      <w:r w:rsidRPr="00EB3F80">
        <w:rPr>
          <w:sz w:val="26"/>
          <w:szCs w:val="26"/>
        </w:rPr>
        <w:lastRenderedPageBreak/>
        <w:tab/>
        <w:t>In addition to seeking comments on the proposed changes to the lighting protocols discussed</w:t>
      </w:r>
      <w:r w:rsidR="00867123" w:rsidRPr="00EB3F80">
        <w:rPr>
          <w:sz w:val="26"/>
          <w:szCs w:val="26"/>
        </w:rPr>
        <w:t xml:space="preserve"> </w:t>
      </w:r>
      <w:r w:rsidR="00301433">
        <w:rPr>
          <w:sz w:val="26"/>
          <w:szCs w:val="26"/>
        </w:rPr>
        <w:t xml:space="preserve">above </w:t>
      </w:r>
      <w:r w:rsidR="00867123" w:rsidRPr="00EB3F80">
        <w:rPr>
          <w:sz w:val="26"/>
          <w:szCs w:val="26"/>
        </w:rPr>
        <w:t xml:space="preserve">in </w:t>
      </w:r>
      <w:r w:rsidR="00C13EB4">
        <w:rPr>
          <w:sz w:val="26"/>
          <w:szCs w:val="26"/>
        </w:rPr>
        <w:t>Section C</w:t>
      </w:r>
      <w:r w:rsidR="00F31D79">
        <w:rPr>
          <w:sz w:val="26"/>
          <w:szCs w:val="26"/>
        </w:rPr>
        <w:t xml:space="preserve">, Subsection </w:t>
      </w:r>
      <w:r w:rsidR="00C13EB4">
        <w:rPr>
          <w:sz w:val="26"/>
          <w:szCs w:val="26"/>
        </w:rPr>
        <w:t>1</w:t>
      </w:r>
      <w:r w:rsidRPr="00EB3F80">
        <w:rPr>
          <w:sz w:val="26"/>
          <w:szCs w:val="26"/>
        </w:rPr>
        <w:t xml:space="preserve">, the Commission </w:t>
      </w:r>
      <w:r w:rsidR="00890BD6" w:rsidRPr="00EB3F80">
        <w:rPr>
          <w:sz w:val="26"/>
          <w:szCs w:val="26"/>
        </w:rPr>
        <w:t>sought</w:t>
      </w:r>
      <w:r w:rsidRPr="00EB3F80">
        <w:rPr>
          <w:sz w:val="26"/>
          <w:szCs w:val="26"/>
        </w:rPr>
        <w:t xml:space="preserve"> input on how the TRM should account for </w:t>
      </w:r>
      <w:r w:rsidR="00867123" w:rsidRPr="00EB3F80">
        <w:rPr>
          <w:sz w:val="26"/>
          <w:szCs w:val="26"/>
        </w:rPr>
        <w:t>f</w:t>
      </w:r>
      <w:r w:rsidRPr="00EB3F80">
        <w:rPr>
          <w:sz w:val="26"/>
          <w:szCs w:val="26"/>
        </w:rPr>
        <w:t xml:space="preserve">ederal legislation and regulations that prohibit </w:t>
      </w:r>
      <w:r w:rsidR="005B1F75" w:rsidRPr="00EB3F80">
        <w:rPr>
          <w:sz w:val="26"/>
          <w:szCs w:val="26"/>
        </w:rPr>
        <w:t xml:space="preserve">or restrict </w:t>
      </w:r>
      <w:r w:rsidRPr="00EB3F80">
        <w:rPr>
          <w:sz w:val="26"/>
          <w:szCs w:val="26"/>
        </w:rPr>
        <w:t>the production and sale of less efficient l</w:t>
      </w:r>
      <w:r w:rsidR="009F34FE">
        <w:rPr>
          <w:sz w:val="26"/>
          <w:szCs w:val="26"/>
        </w:rPr>
        <w:t>ighting.  Specifically, provisions in EPAct 2005 established minimum ballast efficacy standards that effectively do not allow the manufacture and sale of magnetic ballasts after July 1, 2010.</w:t>
      </w:r>
      <w:r w:rsidR="009F34FE">
        <w:rPr>
          <w:rStyle w:val="FootnoteReference"/>
          <w:sz w:val="26"/>
          <w:szCs w:val="26"/>
        </w:rPr>
        <w:footnoteReference w:id="23"/>
      </w:r>
      <w:r w:rsidR="00755D49" w:rsidRPr="00755D49">
        <w:rPr>
          <w:sz w:val="26"/>
          <w:szCs w:val="26"/>
        </w:rPr>
        <w:t xml:space="preserve">  As such, it appears that as a result of this legislation, the baseline used in the current TRM lighting protocols will change over time, as magnetic ballasts burn</w:t>
      </w:r>
      <w:r w:rsidR="00C147CC">
        <w:rPr>
          <w:sz w:val="26"/>
          <w:szCs w:val="26"/>
        </w:rPr>
        <w:t xml:space="preserve"> </w:t>
      </w:r>
      <w:r w:rsidR="00755D49" w:rsidRPr="00755D49">
        <w:rPr>
          <w:sz w:val="26"/>
          <w:szCs w:val="26"/>
        </w:rPr>
        <w:t>out and become unavailable.  Furthermore, the DOE released regulations in 2009 that, among other changes, effectively prohibit the production and sale of four-foot and eight-foot T12 lamps after July 14, 2010.</w:t>
      </w:r>
      <w:r w:rsidR="009F34FE">
        <w:rPr>
          <w:rStyle w:val="FootnoteReference"/>
          <w:sz w:val="26"/>
          <w:szCs w:val="26"/>
        </w:rPr>
        <w:footnoteReference w:id="24"/>
      </w:r>
      <w:r w:rsidR="00755D49" w:rsidRPr="00755D49">
        <w:rPr>
          <w:sz w:val="26"/>
          <w:szCs w:val="26"/>
        </w:rPr>
        <w:t xml:space="preserve">  These regulatory changes appear to affect the TRC Test valuation for associated lighting projects as the energy savings and their useful life are reduced each year, due to the changing lighting baseline values as such lighting becomes unavailable.  The Commission requested input as to whether the TRM should account for the changing lighting baseline and if so, how it should do so.</w:t>
      </w:r>
    </w:p>
    <w:p w:rsidR="00F04ADC" w:rsidRPr="00EB3F80" w:rsidRDefault="00F04ADC" w:rsidP="00F04ADC">
      <w:pPr>
        <w:pStyle w:val="p3"/>
        <w:tabs>
          <w:tab w:val="clear" w:pos="204"/>
          <w:tab w:val="left" w:pos="720"/>
        </w:tabs>
        <w:spacing w:line="360" w:lineRule="auto"/>
        <w:rPr>
          <w:sz w:val="26"/>
          <w:szCs w:val="26"/>
        </w:rPr>
      </w:pPr>
    </w:p>
    <w:p w:rsidR="00F04ADC" w:rsidRPr="00EB3F80" w:rsidRDefault="00755D49" w:rsidP="0052550D">
      <w:pPr>
        <w:pStyle w:val="p3"/>
        <w:numPr>
          <w:ilvl w:val="0"/>
          <w:numId w:val="19"/>
        </w:numPr>
        <w:tabs>
          <w:tab w:val="clear" w:pos="204"/>
          <w:tab w:val="left" w:pos="720"/>
        </w:tabs>
        <w:spacing w:line="360" w:lineRule="auto"/>
        <w:ind w:left="2160" w:hanging="720"/>
        <w:rPr>
          <w:sz w:val="26"/>
          <w:szCs w:val="26"/>
        </w:rPr>
      </w:pPr>
      <w:r w:rsidRPr="00755D49">
        <w:rPr>
          <w:b/>
          <w:sz w:val="26"/>
          <w:szCs w:val="26"/>
        </w:rPr>
        <w:t>Comments</w:t>
      </w:r>
    </w:p>
    <w:p w:rsidR="008902B4" w:rsidRPr="00EB3F80" w:rsidRDefault="00755D49" w:rsidP="008902B4">
      <w:pPr>
        <w:pStyle w:val="p3"/>
        <w:tabs>
          <w:tab w:val="clear" w:pos="204"/>
          <w:tab w:val="left" w:pos="720"/>
        </w:tabs>
        <w:spacing w:line="360" w:lineRule="auto"/>
        <w:rPr>
          <w:sz w:val="26"/>
          <w:szCs w:val="26"/>
        </w:rPr>
      </w:pPr>
      <w:r w:rsidRPr="00755D49">
        <w:rPr>
          <w:sz w:val="26"/>
          <w:szCs w:val="26"/>
        </w:rPr>
        <w:tab/>
      </w:r>
    </w:p>
    <w:p w:rsidR="008902B4" w:rsidRPr="00EB3F80" w:rsidRDefault="00755D49" w:rsidP="008902B4">
      <w:pPr>
        <w:pStyle w:val="p3"/>
        <w:tabs>
          <w:tab w:val="clear" w:pos="204"/>
          <w:tab w:val="left" w:pos="720"/>
        </w:tabs>
        <w:spacing w:line="360" w:lineRule="auto"/>
        <w:rPr>
          <w:sz w:val="26"/>
          <w:szCs w:val="26"/>
        </w:rPr>
      </w:pPr>
      <w:r w:rsidRPr="00755D49">
        <w:rPr>
          <w:sz w:val="26"/>
          <w:szCs w:val="26"/>
        </w:rPr>
        <w:tab/>
        <w:t xml:space="preserve">FirstEnergy and PECO stated that any changes to the TRM resulting from federal legislation should be phased in over time as determined by discussions with the TWG. </w:t>
      </w:r>
      <w:proofErr w:type="gramStart"/>
      <w:r w:rsidRPr="00755D49">
        <w:rPr>
          <w:sz w:val="26"/>
          <w:szCs w:val="26"/>
        </w:rPr>
        <w:t xml:space="preserve">(FirstEnergy </w:t>
      </w:r>
      <w:r w:rsidR="00802003">
        <w:rPr>
          <w:sz w:val="26"/>
          <w:szCs w:val="26"/>
        </w:rPr>
        <w:t>C</w:t>
      </w:r>
      <w:r w:rsidRPr="00755D49">
        <w:rPr>
          <w:sz w:val="26"/>
          <w:szCs w:val="26"/>
        </w:rPr>
        <w:t xml:space="preserve">omments at 12 </w:t>
      </w:r>
      <w:r w:rsidR="00802003">
        <w:rPr>
          <w:sz w:val="26"/>
          <w:szCs w:val="26"/>
        </w:rPr>
        <w:t xml:space="preserve">and </w:t>
      </w:r>
      <w:r w:rsidRPr="00755D49">
        <w:rPr>
          <w:sz w:val="26"/>
          <w:szCs w:val="26"/>
        </w:rPr>
        <w:t xml:space="preserve">PECO </w:t>
      </w:r>
      <w:r w:rsidR="00802003">
        <w:rPr>
          <w:sz w:val="26"/>
          <w:szCs w:val="26"/>
        </w:rPr>
        <w:t>C</w:t>
      </w:r>
      <w:r w:rsidRPr="00755D49">
        <w:rPr>
          <w:sz w:val="26"/>
          <w:szCs w:val="26"/>
        </w:rPr>
        <w:t>omments at 9</w:t>
      </w:r>
      <w:r w:rsidR="00802003">
        <w:rPr>
          <w:sz w:val="26"/>
          <w:szCs w:val="26"/>
        </w:rPr>
        <w:t>.</w:t>
      </w:r>
      <w:r w:rsidRPr="00755D49">
        <w:rPr>
          <w:sz w:val="26"/>
          <w:szCs w:val="26"/>
        </w:rPr>
        <w:t>)</w:t>
      </w:r>
      <w:proofErr w:type="gramEnd"/>
      <w:r w:rsidRPr="00755D49">
        <w:rPr>
          <w:sz w:val="26"/>
          <w:szCs w:val="26"/>
        </w:rPr>
        <w:t xml:space="preserve">  </w:t>
      </w:r>
      <w:r w:rsidR="00802003">
        <w:rPr>
          <w:sz w:val="26"/>
          <w:szCs w:val="26"/>
        </w:rPr>
        <w:t>PECO noted that t</w:t>
      </w:r>
      <w:r w:rsidRPr="00755D49">
        <w:rPr>
          <w:sz w:val="26"/>
          <w:szCs w:val="26"/>
        </w:rPr>
        <w:t xml:space="preserve">he appropriate phase-in period and annual reductions in baseline wattage are technology and measure specific and should be established through a collaborative process with the </w:t>
      </w:r>
      <w:r w:rsidR="00802003">
        <w:rPr>
          <w:sz w:val="26"/>
          <w:szCs w:val="26"/>
        </w:rPr>
        <w:t xml:space="preserve">TWG and </w:t>
      </w:r>
      <w:r w:rsidRPr="00755D49">
        <w:rPr>
          <w:sz w:val="26"/>
          <w:szCs w:val="26"/>
        </w:rPr>
        <w:t>SWE.</w:t>
      </w:r>
      <w:r w:rsidR="00802003">
        <w:rPr>
          <w:sz w:val="26"/>
          <w:szCs w:val="26"/>
        </w:rPr>
        <w:t xml:space="preserve"> </w:t>
      </w:r>
      <w:r w:rsidRPr="00755D49">
        <w:rPr>
          <w:sz w:val="26"/>
          <w:szCs w:val="26"/>
        </w:rPr>
        <w:t xml:space="preserve"> </w:t>
      </w:r>
      <w:proofErr w:type="gramStart"/>
      <w:r w:rsidRPr="00755D49">
        <w:rPr>
          <w:sz w:val="26"/>
          <w:szCs w:val="26"/>
        </w:rPr>
        <w:t xml:space="preserve">(PECO </w:t>
      </w:r>
      <w:r w:rsidR="00802003">
        <w:rPr>
          <w:sz w:val="26"/>
          <w:szCs w:val="26"/>
        </w:rPr>
        <w:t>C</w:t>
      </w:r>
      <w:r w:rsidRPr="00755D49">
        <w:rPr>
          <w:sz w:val="26"/>
          <w:szCs w:val="26"/>
        </w:rPr>
        <w:t>omments at 9</w:t>
      </w:r>
      <w:r w:rsidR="00802003">
        <w:rPr>
          <w:sz w:val="26"/>
          <w:szCs w:val="26"/>
        </w:rPr>
        <w:t>.</w:t>
      </w:r>
      <w:r w:rsidRPr="00755D49">
        <w:rPr>
          <w:sz w:val="26"/>
          <w:szCs w:val="26"/>
        </w:rPr>
        <w:t>)</w:t>
      </w:r>
      <w:proofErr w:type="gramEnd"/>
      <w:r w:rsidRPr="00755D49">
        <w:rPr>
          <w:sz w:val="26"/>
          <w:szCs w:val="26"/>
        </w:rPr>
        <w:t xml:space="preserve"> </w:t>
      </w:r>
    </w:p>
    <w:p w:rsidR="00410400" w:rsidRDefault="00410400" w:rsidP="008902B4">
      <w:pPr>
        <w:pStyle w:val="p3"/>
        <w:tabs>
          <w:tab w:val="clear" w:pos="204"/>
          <w:tab w:val="left" w:pos="720"/>
        </w:tabs>
        <w:spacing w:line="360" w:lineRule="auto"/>
        <w:rPr>
          <w:sz w:val="26"/>
          <w:szCs w:val="26"/>
        </w:rPr>
      </w:pPr>
    </w:p>
    <w:p w:rsidR="00D66700" w:rsidRDefault="00D66700" w:rsidP="008902B4">
      <w:pPr>
        <w:pStyle w:val="p3"/>
        <w:tabs>
          <w:tab w:val="clear" w:pos="204"/>
          <w:tab w:val="left" w:pos="720"/>
        </w:tabs>
        <w:spacing w:line="360" w:lineRule="auto"/>
        <w:rPr>
          <w:sz w:val="26"/>
          <w:szCs w:val="26"/>
        </w:rPr>
      </w:pPr>
    </w:p>
    <w:p w:rsidR="00D66700" w:rsidRPr="00EB3F80" w:rsidRDefault="00D66700" w:rsidP="008902B4">
      <w:pPr>
        <w:pStyle w:val="p3"/>
        <w:tabs>
          <w:tab w:val="clear" w:pos="204"/>
          <w:tab w:val="left" w:pos="720"/>
        </w:tabs>
        <w:spacing w:line="360" w:lineRule="auto"/>
        <w:rPr>
          <w:sz w:val="26"/>
          <w:szCs w:val="26"/>
        </w:rPr>
      </w:pPr>
    </w:p>
    <w:p w:rsidR="008902B4" w:rsidRPr="00EB3F80" w:rsidRDefault="00755D49" w:rsidP="008902B4">
      <w:pPr>
        <w:pStyle w:val="p3"/>
        <w:tabs>
          <w:tab w:val="clear" w:pos="204"/>
          <w:tab w:val="left" w:pos="720"/>
        </w:tabs>
        <w:spacing w:line="360" w:lineRule="auto"/>
        <w:rPr>
          <w:sz w:val="26"/>
          <w:szCs w:val="26"/>
        </w:rPr>
      </w:pPr>
      <w:r w:rsidRPr="00755D49">
        <w:rPr>
          <w:sz w:val="26"/>
          <w:szCs w:val="26"/>
        </w:rPr>
        <w:lastRenderedPageBreak/>
        <w:tab/>
        <w:t xml:space="preserve">Allegheny </w:t>
      </w:r>
      <w:r w:rsidR="00802003">
        <w:rPr>
          <w:sz w:val="26"/>
          <w:szCs w:val="26"/>
        </w:rPr>
        <w:t xml:space="preserve">Power </w:t>
      </w:r>
      <w:r w:rsidRPr="00755D49">
        <w:rPr>
          <w:sz w:val="26"/>
          <w:szCs w:val="26"/>
        </w:rPr>
        <w:t>recommended that all changes be referred to the TWG to review and propose changes to the TRM, including the timing of such changes, based on the specific technology.</w:t>
      </w:r>
      <w:r w:rsidR="009B169A">
        <w:rPr>
          <w:sz w:val="26"/>
          <w:szCs w:val="26"/>
        </w:rPr>
        <w:t xml:space="preserve"> </w:t>
      </w:r>
      <w:r w:rsidRPr="00755D49">
        <w:rPr>
          <w:sz w:val="26"/>
          <w:szCs w:val="26"/>
        </w:rPr>
        <w:t xml:space="preserve"> </w:t>
      </w:r>
      <w:proofErr w:type="gramStart"/>
      <w:r w:rsidRPr="00755D49">
        <w:rPr>
          <w:sz w:val="26"/>
          <w:szCs w:val="26"/>
        </w:rPr>
        <w:t xml:space="preserve">(Allegheny </w:t>
      </w:r>
      <w:r w:rsidR="009B169A">
        <w:rPr>
          <w:sz w:val="26"/>
          <w:szCs w:val="26"/>
        </w:rPr>
        <w:t>Power C</w:t>
      </w:r>
      <w:r w:rsidRPr="00755D49">
        <w:rPr>
          <w:sz w:val="26"/>
          <w:szCs w:val="26"/>
        </w:rPr>
        <w:t>omments at 4</w:t>
      </w:r>
      <w:r w:rsidR="009B169A">
        <w:rPr>
          <w:sz w:val="26"/>
          <w:szCs w:val="26"/>
        </w:rPr>
        <w:t xml:space="preserve"> and </w:t>
      </w:r>
      <w:r w:rsidRPr="00755D49">
        <w:rPr>
          <w:sz w:val="26"/>
          <w:szCs w:val="26"/>
        </w:rPr>
        <w:t>5</w:t>
      </w:r>
      <w:r w:rsidR="009B169A">
        <w:rPr>
          <w:sz w:val="26"/>
          <w:szCs w:val="26"/>
        </w:rPr>
        <w:t>.</w:t>
      </w:r>
      <w:r w:rsidRPr="00755D49">
        <w:rPr>
          <w:sz w:val="26"/>
          <w:szCs w:val="26"/>
        </w:rPr>
        <w:t>)</w:t>
      </w:r>
      <w:proofErr w:type="gramEnd"/>
    </w:p>
    <w:p w:rsidR="00410400" w:rsidRPr="00EB3F80" w:rsidRDefault="00410400" w:rsidP="008902B4">
      <w:pPr>
        <w:pStyle w:val="p3"/>
        <w:tabs>
          <w:tab w:val="clear" w:pos="204"/>
          <w:tab w:val="left" w:pos="720"/>
        </w:tabs>
        <w:spacing w:line="360" w:lineRule="auto"/>
        <w:rPr>
          <w:sz w:val="26"/>
          <w:szCs w:val="26"/>
        </w:rPr>
      </w:pPr>
    </w:p>
    <w:p w:rsidR="008902B4" w:rsidRPr="00EB3F80" w:rsidRDefault="00755D49" w:rsidP="008902B4">
      <w:pPr>
        <w:pStyle w:val="p3"/>
        <w:tabs>
          <w:tab w:val="clear" w:pos="204"/>
          <w:tab w:val="left" w:pos="720"/>
        </w:tabs>
        <w:spacing w:line="360" w:lineRule="auto"/>
        <w:rPr>
          <w:sz w:val="26"/>
          <w:szCs w:val="26"/>
        </w:rPr>
      </w:pPr>
      <w:r w:rsidRPr="00755D49">
        <w:rPr>
          <w:sz w:val="26"/>
          <w:szCs w:val="26"/>
        </w:rPr>
        <w:tab/>
        <w:t>Duquesne and PPL both stated that any changes should not</w:t>
      </w:r>
      <w:r w:rsidR="00C147CC">
        <w:rPr>
          <w:sz w:val="26"/>
          <w:szCs w:val="26"/>
        </w:rPr>
        <w:t xml:space="preserve"> be</w:t>
      </w:r>
      <w:r w:rsidRPr="00755D49">
        <w:rPr>
          <w:sz w:val="26"/>
          <w:szCs w:val="26"/>
        </w:rPr>
        <w:t xml:space="preserve"> implemented until the next Act 129 obligation period, beginning June 1, 2013. </w:t>
      </w:r>
      <w:r w:rsidR="009B169A">
        <w:rPr>
          <w:sz w:val="26"/>
          <w:szCs w:val="26"/>
        </w:rPr>
        <w:t xml:space="preserve"> </w:t>
      </w:r>
      <w:r w:rsidRPr="00755D49">
        <w:rPr>
          <w:sz w:val="26"/>
          <w:szCs w:val="26"/>
        </w:rPr>
        <w:t xml:space="preserve">(Duquesne </w:t>
      </w:r>
      <w:r w:rsidR="009B169A">
        <w:rPr>
          <w:sz w:val="26"/>
          <w:szCs w:val="26"/>
        </w:rPr>
        <w:t>C</w:t>
      </w:r>
      <w:r w:rsidRPr="00755D49">
        <w:rPr>
          <w:sz w:val="26"/>
          <w:szCs w:val="26"/>
        </w:rPr>
        <w:t xml:space="preserve">omments at </w:t>
      </w:r>
      <w:r w:rsidR="00495F24" w:rsidRPr="00755D49">
        <w:rPr>
          <w:sz w:val="26"/>
          <w:szCs w:val="26"/>
        </w:rPr>
        <w:t>6</w:t>
      </w:r>
      <w:r w:rsidRPr="00755D49">
        <w:rPr>
          <w:sz w:val="26"/>
          <w:szCs w:val="26"/>
        </w:rPr>
        <w:t xml:space="preserve"> </w:t>
      </w:r>
      <w:r w:rsidR="009B169A">
        <w:rPr>
          <w:sz w:val="26"/>
          <w:szCs w:val="26"/>
        </w:rPr>
        <w:t xml:space="preserve">and </w:t>
      </w:r>
      <w:r w:rsidRPr="00755D49">
        <w:rPr>
          <w:sz w:val="26"/>
          <w:szCs w:val="26"/>
        </w:rPr>
        <w:t xml:space="preserve">PPL </w:t>
      </w:r>
      <w:r w:rsidR="009B169A">
        <w:rPr>
          <w:sz w:val="26"/>
          <w:szCs w:val="26"/>
        </w:rPr>
        <w:t>C</w:t>
      </w:r>
      <w:r w:rsidRPr="00755D49">
        <w:rPr>
          <w:sz w:val="26"/>
          <w:szCs w:val="26"/>
        </w:rPr>
        <w:t>omments at 27</w:t>
      </w:r>
      <w:r w:rsidR="009B169A">
        <w:rPr>
          <w:sz w:val="26"/>
          <w:szCs w:val="26"/>
        </w:rPr>
        <w:t>.</w:t>
      </w:r>
      <w:r w:rsidRPr="00755D49">
        <w:rPr>
          <w:sz w:val="26"/>
          <w:szCs w:val="26"/>
        </w:rPr>
        <w:t xml:space="preserve">)  PPL also stated that the TWG should develop recommendations for any federal legislation changes that would become effective June 1, 2013, and that any changes post-2013 should be implemented using a phase-in method. </w:t>
      </w:r>
      <w:r w:rsidR="009B169A">
        <w:rPr>
          <w:sz w:val="26"/>
          <w:szCs w:val="26"/>
        </w:rPr>
        <w:t xml:space="preserve"> </w:t>
      </w:r>
      <w:proofErr w:type="gramStart"/>
      <w:r w:rsidRPr="00755D49">
        <w:rPr>
          <w:sz w:val="26"/>
          <w:szCs w:val="26"/>
        </w:rPr>
        <w:t xml:space="preserve">(PPL </w:t>
      </w:r>
      <w:r w:rsidR="009B169A">
        <w:rPr>
          <w:sz w:val="26"/>
          <w:szCs w:val="26"/>
        </w:rPr>
        <w:t>C</w:t>
      </w:r>
      <w:r w:rsidRPr="00755D49">
        <w:rPr>
          <w:sz w:val="26"/>
          <w:szCs w:val="26"/>
        </w:rPr>
        <w:t>omments at 27</w:t>
      </w:r>
      <w:r w:rsidR="009B169A">
        <w:rPr>
          <w:sz w:val="26"/>
          <w:szCs w:val="26"/>
        </w:rPr>
        <w:t>.</w:t>
      </w:r>
      <w:r w:rsidRPr="00755D49">
        <w:rPr>
          <w:sz w:val="26"/>
          <w:szCs w:val="26"/>
        </w:rPr>
        <w:t>)</w:t>
      </w:r>
      <w:proofErr w:type="gramEnd"/>
    </w:p>
    <w:p w:rsidR="00E40C54" w:rsidRPr="00EB3F80" w:rsidRDefault="00755D49" w:rsidP="008902B4">
      <w:pPr>
        <w:pStyle w:val="p3"/>
        <w:tabs>
          <w:tab w:val="clear" w:pos="204"/>
          <w:tab w:val="left" w:pos="720"/>
        </w:tabs>
        <w:spacing w:line="360" w:lineRule="auto"/>
        <w:rPr>
          <w:sz w:val="26"/>
          <w:szCs w:val="26"/>
        </w:rPr>
      </w:pPr>
      <w:r w:rsidRPr="00755D49">
        <w:rPr>
          <w:sz w:val="26"/>
          <w:szCs w:val="26"/>
        </w:rPr>
        <w:tab/>
      </w:r>
    </w:p>
    <w:p w:rsidR="008902B4" w:rsidRPr="00EB3F80" w:rsidRDefault="00755D49" w:rsidP="008902B4">
      <w:pPr>
        <w:pStyle w:val="p3"/>
        <w:tabs>
          <w:tab w:val="clear" w:pos="204"/>
          <w:tab w:val="left" w:pos="720"/>
        </w:tabs>
        <w:spacing w:line="360" w:lineRule="auto"/>
        <w:rPr>
          <w:sz w:val="26"/>
          <w:szCs w:val="26"/>
        </w:rPr>
      </w:pPr>
      <w:r w:rsidRPr="00755D49">
        <w:rPr>
          <w:sz w:val="26"/>
          <w:szCs w:val="26"/>
        </w:rPr>
        <w:tab/>
        <w:t xml:space="preserve">Regarding the lighting baseline itself, PPL stated that any changes before May 31, 2013, should affect the wattage of the replacement lighting and not that of the baseline lighting.  </w:t>
      </w:r>
      <w:r w:rsidR="009B169A">
        <w:rPr>
          <w:sz w:val="26"/>
          <w:szCs w:val="26"/>
        </w:rPr>
        <w:t>PPL noted that b</w:t>
      </w:r>
      <w:r w:rsidRPr="00755D49">
        <w:rPr>
          <w:sz w:val="26"/>
          <w:szCs w:val="26"/>
        </w:rPr>
        <w:t xml:space="preserve">aselines for lighting retrofits should continue to be based on the </w:t>
      </w:r>
      <w:r w:rsidRPr="009B169A">
        <w:rPr>
          <w:sz w:val="26"/>
          <w:szCs w:val="26"/>
        </w:rPr>
        <w:t>actual</w:t>
      </w:r>
      <w:r w:rsidRPr="00755D49">
        <w:rPr>
          <w:sz w:val="26"/>
          <w:szCs w:val="26"/>
        </w:rPr>
        <w:t xml:space="preserve"> light fixture the customer is replacing during the remaining time of this 4-year EE&amp;C planning cycle, not based on a change in lighting regulations that becomes effective during the term of the current EE&amp;C Planning cycle</w:t>
      </w:r>
      <w:r w:rsidR="009B169A">
        <w:rPr>
          <w:sz w:val="26"/>
          <w:szCs w:val="26"/>
        </w:rPr>
        <w:t xml:space="preserve">. </w:t>
      </w:r>
      <w:r w:rsidRPr="00755D49">
        <w:rPr>
          <w:sz w:val="26"/>
          <w:szCs w:val="26"/>
        </w:rPr>
        <w:t xml:space="preserve"> </w:t>
      </w:r>
      <w:proofErr w:type="gramStart"/>
      <w:r w:rsidRPr="00755D49">
        <w:rPr>
          <w:sz w:val="26"/>
          <w:szCs w:val="26"/>
        </w:rPr>
        <w:t xml:space="preserve">(PPL </w:t>
      </w:r>
      <w:r w:rsidR="009B169A">
        <w:rPr>
          <w:sz w:val="26"/>
          <w:szCs w:val="26"/>
        </w:rPr>
        <w:t>C</w:t>
      </w:r>
      <w:r w:rsidRPr="00755D49">
        <w:rPr>
          <w:sz w:val="26"/>
          <w:szCs w:val="26"/>
        </w:rPr>
        <w:t>omments at 27</w:t>
      </w:r>
      <w:r w:rsidR="009B169A">
        <w:rPr>
          <w:sz w:val="26"/>
          <w:szCs w:val="26"/>
        </w:rPr>
        <w:t>.</w:t>
      </w:r>
      <w:r w:rsidRPr="00755D49">
        <w:rPr>
          <w:sz w:val="26"/>
          <w:szCs w:val="26"/>
        </w:rPr>
        <w:t>)</w:t>
      </w:r>
      <w:proofErr w:type="gramEnd"/>
    </w:p>
    <w:p w:rsidR="00F04ADC" w:rsidRPr="00EB3F80" w:rsidRDefault="00F04ADC" w:rsidP="00F04ADC">
      <w:pPr>
        <w:pStyle w:val="p3"/>
        <w:tabs>
          <w:tab w:val="clear" w:pos="204"/>
          <w:tab w:val="left" w:pos="720"/>
        </w:tabs>
        <w:spacing w:line="360" w:lineRule="auto"/>
        <w:rPr>
          <w:sz w:val="26"/>
          <w:szCs w:val="26"/>
        </w:rPr>
      </w:pPr>
    </w:p>
    <w:p w:rsidR="00B52F8D" w:rsidRPr="00EB3F80" w:rsidRDefault="00755D49" w:rsidP="0052550D">
      <w:pPr>
        <w:pStyle w:val="p3"/>
        <w:numPr>
          <w:ilvl w:val="0"/>
          <w:numId w:val="19"/>
        </w:numPr>
        <w:tabs>
          <w:tab w:val="clear" w:pos="204"/>
          <w:tab w:val="left" w:pos="720"/>
        </w:tabs>
        <w:spacing w:line="360" w:lineRule="auto"/>
        <w:ind w:left="2160" w:hanging="720"/>
        <w:rPr>
          <w:b/>
          <w:sz w:val="26"/>
          <w:szCs w:val="26"/>
        </w:rPr>
      </w:pPr>
      <w:r w:rsidRPr="00755D49">
        <w:rPr>
          <w:b/>
          <w:sz w:val="26"/>
          <w:szCs w:val="26"/>
        </w:rPr>
        <w:t xml:space="preserve">Disposition </w:t>
      </w:r>
    </w:p>
    <w:p w:rsidR="00844100" w:rsidRDefault="00755D49">
      <w:pPr>
        <w:pStyle w:val="p3"/>
        <w:tabs>
          <w:tab w:val="clear" w:pos="204"/>
          <w:tab w:val="left" w:pos="720"/>
        </w:tabs>
        <w:spacing w:line="360" w:lineRule="auto"/>
        <w:rPr>
          <w:i/>
          <w:sz w:val="26"/>
          <w:szCs w:val="26"/>
        </w:rPr>
      </w:pPr>
      <w:r w:rsidRPr="00755D49">
        <w:rPr>
          <w:sz w:val="26"/>
          <w:szCs w:val="26"/>
        </w:rPr>
        <w:tab/>
      </w:r>
      <w:r w:rsidRPr="00755D49">
        <w:rPr>
          <w:sz w:val="26"/>
          <w:szCs w:val="26"/>
          <w:u w:val="single"/>
        </w:rPr>
        <w:t xml:space="preserve"> </w:t>
      </w:r>
    </w:p>
    <w:p w:rsidR="009F11F6" w:rsidRPr="00EB3F80" w:rsidRDefault="009F11F6" w:rsidP="00747DB9">
      <w:pPr>
        <w:spacing w:line="360" w:lineRule="auto"/>
        <w:ind w:firstLine="720"/>
        <w:rPr>
          <w:sz w:val="26"/>
          <w:szCs w:val="26"/>
        </w:rPr>
      </w:pPr>
      <w:r w:rsidRPr="00EB3F80">
        <w:rPr>
          <w:sz w:val="26"/>
          <w:szCs w:val="26"/>
        </w:rPr>
        <w:t xml:space="preserve">Due to the </w:t>
      </w:r>
      <w:r w:rsidR="00D90086" w:rsidRPr="00EB3F80">
        <w:rPr>
          <w:sz w:val="26"/>
          <w:szCs w:val="26"/>
        </w:rPr>
        <w:t>complex nature of incorporating new legislative measures, the Commission agrees with Allegheny Power that any baseline changes for lighting resulting from federal legislation be discussed by the TWG.  The TWG will</w:t>
      </w:r>
      <w:r w:rsidR="00012868" w:rsidRPr="00EB3F80">
        <w:rPr>
          <w:sz w:val="26"/>
          <w:szCs w:val="26"/>
        </w:rPr>
        <w:t xml:space="preserve"> then</w:t>
      </w:r>
      <w:r w:rsidR="00D90086" w:rsidRPr="00EB3F80">
        <w:rPr>
          <w:sz w:val="26"/>
          <w:szCs w:val="26"/>
        </w:rPr>
        <w:t xml:space="preserve"> </w:t>
      </w:r>
      <w:r w:rsidR="00F919E7">
        <w:rPr>
          <w:sz w:val="26"/>
          <w:szCs w:val="26"/>
        </w:rPr>
        <w:t xml:space="preserve">provide </w:t>
      </w:r>
      <w:r w:rsidR="00F919E7" w:rsidRPr="00EB3F80">
        <w:rPr>
          <w:sz w:val="26"/>
          <w:szCs w:val="26"/>
        </w:rPr>
        <w:t>recommendations</w:t>
      </w:r>
      <w:r w:rsidR="00F919E7">
        <w:rPr>
          <w:sz w:val="26"/>
          <w:szCs w:val="26"/>
        </w:rPr>
        <w:t>, including implementation and timing strategies,</w:t>
      </w:r>
      <w:r w:rsidR="00AF2757" w:rsidRPr="00EB3F80">
        <w:rPr>
          <w:sz w:val="26"/>
          <w:szCs w:val="26"/>
        </w:rPr>
        <w:t xml:space="preserve"> to the Commission as to how future TRMs </w:t>
      </w:r>
      <w:r w:rsidR="00F919E7">
        <w:rPr>
          <w:sz w:val="26"/>
          <w:szCs w:val="26"/>
        </w:rPr>
        <w:t>should</w:t>
      </w:r>
      <w:r w:rsidR="004C03BF" w:rsidRPr="00EB3F80">
        <w:rPr>
          <w:sz w:val="26"/>
          <w:szCs w:val="26"/>
        </w:rPr>
        <w:t xml:space="preserve"> </w:t>
      </w:r>
      <w:r w:rsidR="00AF2757" w:rsidRPr="00EB3F80">
        <w:rPr>
          <w:sz w:val="26"/>
          <w:szCs w:val="26"/>
        </w:rPr>
        <w:t>incorporate the baseline changes</w:t>
      </w:r>
      <w:r w:rsidR="00F919E7">
        <w:rPr>
          <w:sz w:val="26"/>
          <w:szCs w:val="26"/>
        </w:rPr>
        <w:t>.</w:t>
      </w:r>
    </w:p>
    <w:p w:rsidR="00844100" w:rsidRDefault="00844100">
      <w:pPr>
        <w:spacing w:line="360" w:lineRule="auto"/>
        <w:rPr>
          <w:sz w:val="26"/>
          <w:szCs w:val="26"/>
        </w:rPr>
      </w:pPr>
    </w:p>
    <w:p w:rsidR="00D66700" w:rsidRDefault="00D66700">
      <w:pPr>
        <w:spacing w:line="360" w:lineRule="auto"/>
        <w:rPr>
          <w:sz w:val="26"/>
          <w:szCs w:val="26"/>
        </w:rPr>
      </w:pPr>
    </w:p>
    <w:p w:rsidR="00D66700" w:rsidRDefault="00D66700">
      <w:pPr>
        <w:spacing w:line="360" w:lineRule="auto"/>
        <w:rPr>
          <w:sz w:val="26"/>
          <w:szCs w:val="26"/>
        </w:rPr>
      </w:pPr>
    </w:p>
    <w:p w:rsidR="00D66700" w:rsidRDefault="00D66700">
      <w:pPr>
        <w:spacing w:line="360" w:lineRule="auto"/>
        <w:rPr>
          <w:sz w:val="26"/>
          <w:szCs w:val="26"/>
        </w:rPr>
      </w:pPr>
    </w:p>
    <w:p w:rsidR="00844100" w:rsidRDefault="00C030A6" w:rsidP="0052550D">
      <w:pPr>
        <w:pStyle w:val="ListParagraph"/>
        <w:numPr>
          <w:ilvl w:val="0"/>
          <w:numId w:val="12"/>
        </w:numPr>
        <w:spacing w:line="360" w:lineRule="auto"/>
        <w:ind w:left="1440" w:hanging="720"/>
        <w:rPr>
          <w:b/>
          <w:sz w:val="26"/>
          <w:szCs w:val="26"/>
        </w:rPr>
      </w:pPr>
      <w:r w:rsidRPr="00EB3F80">
        <w:rPr>
          <w:b/>
          <w:sz w:val="26"/>
          <w:szCs w:val="26"/>
        </w:rPr>
        <w:lastRenderedPageBreak/>
        <w:t>Federal Legislation and Regulations Related to Motors</w:t>
      </w:r>
    </w:p>
    <w:p w:rsidR="00C030A6" w:rsidRPr="00EB3F80" w:rsidRDefault="00C030A6" w:rsidP="00C030A6">
      <w:pPr>
        <w:spacing w:line="360" w:lineRule="auto"/>
        <w:rPr>
          <w:sz w:val="26"/>
          <w:szCs w:val="26"/>
        </w:rPr>
      </w:pPr>
    </w:p>
    <w:p w:rsidR="00844100" w:rsidRDefault="00697DBA">
      <w:pPr>
        <w:spacing w:line="360" w:lineRule="auto"/>
        <w:ind w:firstLine="720"/>
        <w:rPr>
          <w:sz w:val="26"/>
          <w:szCs w:val="26"/>
        </w:rPr>
      </w:pPr>
      <w:r w:rsidRPr="00EB3F80">
        <w:rPr>
          <w:sz w:val="26"/>
          <w:szCs w:val="26"/>
        </w:rPr>
        <w:t>The Energy Independence and Security Act of 2007 (</w:t>
      </w:r>
      <w:r w:rsidR="003D2717" w:rsidRPr="00EB3F80">
        <w:rPr>
          <w:sz w:val="26"/>
          <w:szCs w:val="26"/>
        </w:rPr>
        <w:t>“</w:t>
      </w:r>
      <w:r w:rsidRPr="00EB3F80">
        <w:rPr>
          <w:sz w:val="26"/>
          <w:szCs w:val="26"/>
        </w:rPr>
        <w:t>EISA 2007</w:t>
      </w:r>
      <w:r w:rsidR="003D2717" w:rsidRPr="00EB3F80">
        <w:rPr>
          <w:sz w:val="26"/>
          <w:szCs w:val="26"/>
        </w:rPr>
        <w:t>”</w:t>
      </w:r>
      <w:r w:rsidRPr="00EB3F80">
        <w:rPr>
          <w:sz w:val="26"/>
          <w:szCs w:val="26"/>
        </w:rPr>
        <w:t xml:space="preserve">) was signed into law on December 19, 2007. </w:t>
      </w:r>
      <w:r w:rsidR="00F919E7">
        <w:rPr>
          <w:sz w:val="26"/>
          <w:szCs w:val="26"/>
        </w:rPr>
        <w:t xml:space="preserve"> </w:t>
      </w:r>
      <w:r w:rsidRPr="00EB3F80">
        <w:rPr>
          <w:sz w:val="26"/>
          <w:szCs w:val="26"/>
        </w:rPr>
        <w:t xml:space="preserve">This included </w:t>
      </w:r>
      <w:r w:rsidR="00755D49" w:rsidRPr="00755D49">
        <w:rPr>
          <w:sz w:val="26"/>
          <w:szCs w:val="26"/>
        </w:rPr>
        <w:t xml:space="preserve">an increase in standards for motor efficiencies to the current NEMA Premium standard. </w:t>
      </w:r>
      <w:r w:rsidR="00F919E7">
        <w:rPr>
          <w:sz w:val="26"/>
          <w:szCs w:val="26"/>
        </w:rPr>
        <w:t xml:space="preserve"> </w:t>
      </w:r>
      <w:r w:rsidR="00755D49" w:rsidRPr="00755D49">
        <w:rPr>
          <w:sz w:val="26"/>
          <w:szCs w:val="26"/>
        </w:rPr>
        <w:t>This increase in motor efficiency standards impacts the savings attributed to the Act 129 motors programs and TRC test ratios.</w:t>
      </w:r>
    </w:p>
    <w:p w:rsidR="00697DBA" w:rsidRPr="00EB3F80" w:rsidRDefault="00697DBA" w:rsidP="00C030A6">
      <w:pPr>
        <w:spacing w:line="360" w:lineRule="auto"/>
        <w:rPr>
          <w:sz w:val="26"/>
          <w:szCs w:val="26"/>
        </w:rPr>
      </w:pPr>
    </w:p>
    <w:p w:rsidR="00C030A6" w:rsidRPr="001822C0" w:rsidRDefault="00755D49" w:rsidP="0052550D">
      <w:pPr>
        <w:pStyle w:val="ListParagraph"/>
        <w:numPr>
          <w:ilvl w:val="0"/>
          <w:numId w:val="20"/>
        </w:numPr>
        <w:spacing w:line="360" w:lineRule="auto"/>
        <w:ind w:left="2160" w:hanging="720"/>
        <w:rPr>
          <w:b/>
          <w:sz w:val="26"/>
          <w:szCs w:val="26"/>
        </w:rPr>
      </w:pPr>
      <w:r w:rsidRPr="001822C0">
        <w:rPr>
          <w:b/>
          <w:sz w:val="26"/>
          <w:szCs w:val="26"/>
        </w:rPr>
        <w:t>Comments</w:t>
      </w:r>
    </w:p>
    <w:p w:rsidR="00C030A6" w:rsidRPr="00EB3F80" w:rsidRDefault="00C030A6" w:rsidP="00C030A6">
      <w:pPr>
        <w:spacing w:line="360" w:lineRule="auto"/>
        <w:rPr>
          <w:sz w:val="26"/>
          <w:szCs w:val="26"/>
        </w:rPr>
      </w:pPr>
    </w:p>
    <w:p w:rsidR="00844100" w:rsidRDefault="00755D49">
      <w:pPr>
        <w:spacing w:line="360" w:lineRule="auto"/>
        <w:ind w:firstLine="720"/>
        <w:rPr>
          <w:sz w:val="26"/>
          <w:szCs w:val="26"/>
        </w:rPr>
      </w:pPr>
      <w:r w:rsidRPr="00755D49">
        <w:rPr>
          <w:sz w:val="26"/>
          <w:szCs w:val="26"/>
        </w:rPr>
        <w:t xml:space="preserve">Parties did not file comments directly addressing the new motors standards independent of the </w:t>
      </w:r>
      <w:r w:rsidR="00495F24">
        <w:rPr>
          <w:sz w:val="26"/>
          <w:szCs w:val="26"/>
        </w:rPr>
        <w:t xml:space="preserve">above discussed </w:t>
      </w:r>
      <w:r w:rsidRPr="00755D49">
        <w:rPr>
          <w:sz w:val="26"/>
          <w:szCs w:val="26"/>
        </w:rPr>
        <w:t xml:space="preserve">new lighting standards. </w:t>
      </w:r>
      <w:r w:rsidR="00F919E7">
        <w:rPr>
          <w:sz w:val="26"/>
          <w:szCs w:val="26"/>
        </w:rPr>
        <w:t xml:space="preserve"> </w:t>
      </w:r>
    </w:p>
    <w:p w:rsidR="00C030A6" w:rsidRPr="00EB3F80" w:rsidRDefault="00C030A6" w:rsidP="00C030A6">
      <w:pPr>
        <w:spacing w:line="360" w:lineRule="auto"/>
        <w:rPr>
          <w:sz w:val="26"/>
          <w:szCs w:val="26"/>
        </w:rPr>
      </w:pPr>
    </w:p>
    <w:p w:rsidR="00C030A6" w:rsidRPr="00517737" w:rsidRDefault="00755D49" w:rsidP="0052550D">
      <w:pPr>
        <w:pStyle w:val="ListParagraph"/>
        <w:numPr>
          <w:ilvl w:val="0"/>
          <w:numId w:val="20"/>
        </w:numPr>
        <w:spacing w:line="360" w:lineRule="auto"/>
        <w:ind w:left="2160" w:hanging="720"/>
        <w:rPr>
          <w:b/>
          <w:sz w:val="26"/>
          <w:szCs w:val="26"/>
        </w:rPr>
      </w:pPr>
      <w:r w:rsidRPr="00517737">
        <w:rPr>
          <w:b/>
          <w:sz w:val="26"/>
          <w:szCs w:val="26"/>
        </w:rPr>
        <w:t>Disposition</w:t>
      </w:r>
    </w:p>
    <w:p w:rsidR="00C030A6" w:rsidRPr="00EB3F80" w:rsidRDefault="00C030A6" w:rsidP="00C030A6">
      <w:pPr>
        <w:spacing w:line="360" w:lineRule="auto"/>
        <w:rPr>
          <w:sz w:val="26"/>
          <w:szCs w:val="26"/>
        </w:rPr>
      </w:pPr>
    </w:p>
    <w:p w:rsidR="00697DBA" w:rsidRPr="00EB3F80" w:rsidRDefault="00755D49" w:rsidP="00C030A6">
      <w:pPr>
        <w:spacing w:line="360" w:lineRule="auto"/>
        <w:ind w:firstLine="720"/>
        <w:rPr>
          <w:sz w:val="26"/>
          <w:szCs w:val="26"/>
        </w:rPr>
      </w:pPr>
      <w:r w:rsidRPr="00755D49">
        <w:rPr>
          <w:sz w:val="26"/>
          <w:szCs w:val="26"/>
        </w:rPr>
        <w:t xml:space="preserve">The federal standard for efficiency of new motors as of December 19, 2010, is the NEMA Premium standard.  The Commission believes that replacement upon failure of a motor or replacement at end of useful life of a motor, in which a customer has to replace the motor regardless of program involvement, is typically treated in the same manner as new construction with regard to replacement measures. </w:t>
      </w:r>
      <w:r w:rsidR="00F919E7">
        <w:rPr>
          <w:sz w:val="26"/>
          <w:szCs w:val="26"/>
        </w:rPr>
        <w:t xml:space="preserve"> </w:t>
      </w:r>
      <w:r w:rsidRPr="00755D49">
        <w:rPr>
          <w:sz w:val="26"/>
          <w:szCs w:val="26"/>
        </w:rPr>
        <w:t xml:space="preserve">Code efficiency requirements should also dictate measure efficiency requirements in the case of replacement on failure of existing equipment. </w:t>
      </w:r>
      <w:r w:rsidR="00F919E7">
        <w:rPr>
          <w:sz w:val="26"/>
          <w:szCs w:val="26"/>
        </w:rPr>
        <w:t xml:space="preserve"> </w:t>
      </w:r>
      <w:r w:rsidRPr="00755D49">
        <w:rPr>
          <w:sz w:val="26"/>
          <w:szCs w:val="26"/>
        </w:rPr>
        <w:t xml:space="preserve">This requires that NEMA Premium motor minimum efficiencies be considered the baseline for new installations and for cases of motor replacement upon failure.  </w:t>
      </w:r>
    </w:p>
    <w:p w:rsidR="00697DBA" w:rsidRPr="00EB3F80" w:rsidRDefault="00697DBA" w:rsidP="00C030A6">
      <w:pPr>
        <w:spacing w:line="360" w:lineRule="auto"/>
        <w:ind w:firstLine="720"/>
        <w:rPr>
          <w:sz w:val="26"/>
          <w:szCs w:val="26"/>
        </w:rPr>
      </w:pPr>
    </w:p>
    <w:p w:rsidR="00697DBA" w:rsidRPr="00EB3F80" w:rsidRDefault="00755D49" w:rsidP="00C030A6">
      <w:pPr>
        <w:spacing w:line="360" w:lineRule="auto"/>
        <w:ind w:firstLine="720"/>
        <w:rPr>
          <w:sz w:val="26"/>
          <w:szCs w:val="26"/>
        </w:rPr>
      </w:pPr>
      <w:r w:rsidRPr="00755D49">
        <w:rPr>
          <w:sz w:val="26"/>
          <w:szCs w:val="26"/>
        </w:rPr>
        <w:t>Due to the adoption of new standards in the middle of a program year, the Commission has amended the Motors protocol such that the baseline values for PY1 and PY2 remain the old EPAct Standard, while the baseline values for PY3 and PY4 reflect the new EISA 2007 motor baseline values, based on NEMA Premium efficiency levels.</w:t>
      </w:r>
    </w:p>
    <w:p w:rsidR="00C030A6" w:rsidRPr="00EB3F80" w:rsidRDefault="00755D49" w:rsidP="00C030A6">
      <w:pPr>
        <w:spacing w:line="360" w:lineRule="auto"/>
        <w:ind w:firstLine="720"/>
        <w:rPr>
          <w:sz w:val="26"/>
          <w:szCs w:val="26"/>
        </w:rPr>
      </w:pPr>
      <w:r w:rsidRPr="00755D49">
        <w:rPr>
          <w:sz w:val="26"/>
          <w:szCs w:val="26"/>
        </w:rPr>
        <w:lastRenderedPageBreak/>
        <w:t xml:space="preserve">Replacement upon failure is treated as a distinct situation from replacement with remaining useful life, in which the customer chooses to make an investment in more efficient replacement equipment when the existing equipment is still functional, often with significant program involvement. </w:t>
      </w:r>
      <w:r w:rsidR="00F919E7" w:rsidRPr="00CB15C0">
        <w:rPr>
          <w:sz w:val="26"/>
          <w:szCs w:val="26"/>
        </w:rPr>
        <w:t xml:space="preserve"> </w:t>
      </w:r>
      <w:r w:rsidRPr="00755D49">
        <w:rPr>
          <w:sz w:val="26"/>
          <w:szCs w:val="26"/>
        </w:rPr>
        <w:t>In this latter case, the baseline may be considered to be the existing equipment</w:t>
      </w:r>
      <w:r w:rsidR="00F919E7" w:rsidRPr="00CB15C0">
        <w:rPr>
          <w:sz w:val="26"/>
          <w:szCs w:val="26"/>
        </w:rPr>
        <w:t xml:space="preserve"> until </w:t>
      </w:r>
      <w:r w:rsidR="00517737">
        <w:rPr>
          <w:sz w:val="26"/>
          <w:szCs w:val="26"/>
        </w:rPr>
        <w:t xml:space="preserve">at </w:t>
      </w:r>
      <w:r w:rsidR="00F919E7" w:rsidRPr="00CB15C0">
        <w:rPr>
          <w:sz w:val="26"/>
          <w:szCs w:val="26"/>
        </w:rPr>
        <w:t>the time that the equipment would have burned out or failed anyway</w:t>
      </w:r>
      <w:r w:rsidR="00E375A9">
        <w:rPr>
          <w:sz w:val="26"/>
          <w:szCs w:val="26"/>
        </w:rPr>
        <w:t>,</w:t>
      </w:r>
      <w:r w:rsidR="00F919E7" w:rsidRPr="00CB15C0">
        <w:rPr>
          <w:sz w:val="26"/>
          <w:szCs w:val="26"/>
        </w:rPr>
        <w:t xml:space="preserve"> at that point, the baseline becomes standard efficiency equipment.</w:t>
      </w:r>
      <w:r w:rsidR="00F919E7" w:rsidRPr="00EA0035">
        <w:rPr>
          <w:sz w:val="26"/>
          <w:szCs w:val="26"/>
        </w:rPr>
        <w:t xml:space="preserve"> </w:t>
      </w:r>
    </w:p>
    <w:p w:rsidR="00844100" w:rsidRDefault="00844100">
      <w:pPr>
        <w:spacing w:line="360" w:lineRule="auto"/>
        <w:rPr>
          <w:sz w:val="26"/>
          <w:szCs w:val="26"/>
        </w:rPr>
      </w:pPr>
    </w:p>
    <w:p w:rsidR="00844100" w:rsidRDefault="00755D49" w:rsidP="0052550D">
      <w:pPr>
        <w:pStyle w:val="ListParagraph"/>
        <w:numPr>
          <w:ilvl w:val="0"/>
          <w:numId w:val="12"/>
        </w:numPr>
        <w:spacing w:line="360" w:lineRule="auto"/>
        <w:ind w:left="1440" w:hanging="720"/>
        <w:rPr>
          <w:b/>
          <w:sz w:val="26"/>
          <w:szCs w:val="26"/>
        </w:rPr>
      </w:pPr>
      <w:r w:rsidRPr="00755D49">
        <w:rPr>
          <w:b/>
          <w:sz w:val="26"/>
          <w:szCs w:val="26"/>
        </w:rPr>
        <w:t>Code Updates Related to HVAC</w:t>
      </w:r>
    </w:p>
    <w:p w:rsidR="00844100" w:rsidRDefault="00844100">
      <w:pPr>
        <w:spacing w:line="360" w:lineRule="auto"/>
        <w:rPr>
          <w:sz w:val="26"/>
          <w:szCs w:val="26"/>
        </w:rPr>
      </w:pPr>
    </w:p>
    <w:p w:rsidR="00C030A6" w:rsidRPr="00EB3F80" w:rsidRDefault="00755D49" w:rsidP="00C030A6">
      <w:pPr>
        <w:spacing w:line="360" w:lineRule="auto"/>
        <w:ind w:firstLine="720"/>
        <w:rPr>
          <w:sz w:val="26"/>
          <w:szCs w:val="26"/>
        </w:rPr>
      </w:pPr>
      <w:r w:rsidRPr="00755D49">
        <w:rPr>
          <w:sz w:val="26"/>
          <w:szCs w:val="26"/>
        </w:rPr>
        <w:t>Pennsylvania has adopted the IECC 2009 standards.  The 2011 TRM update revises references to IECC 2009 such that protocols conform to the most recently adopted standards.  The Commission specifically solicited comments on how to address code changes and increased standard efficiency requirements.</w:t>
      </w:r>
    </w:p>
    <w:p w:rsidR="00C030A6" w:rsidRPr="00EB3F80" w:rsidRDefault="00C030A6" w:rsidP="00C030A6">
      <w:pPr>
        <w:spacing w:line="360" w:lineRule="auto"/>
        <w:ind w:firstLine="720"/>
        <w:rPr>
          <w:sz w:val="26"/>
          <w:szCs w:val="26"/>
          <w:highlight w:val="yellow"/>
        </w:rPr>
      </w:pPr>
    </w:p>
    <w:p w:rsidR="00C030A6" w:rsidRPr="00E375A9" w:rsidRDefault="00755D49" w:rsidP="0052550D">
      <w:pPr>
        <w:pStyle w:val="ListParagraph"/>
        <w:numPr>
          <w:ilvl w:val="0"/>
          <w:numId w:val="21"/>
        </w:numPr>
        <w:spacing w:line="360" w:lineRule="auto"/>
        <w:ind w:left="2160" w:hanging="720"/>
        <w:rPr>
          <w:b/>
          <w:sz w:val="26"/>
          <w:szCs w:val="26"/>
        </w:rPr>
      </w:pPr>
      <w:r w:rsidRPr="00E375A9">
        <w:rPr>
          <w:b/>
          <w:sz w:val="26"/>
          <w:szCs w:val="26"/>
        </w:rPr>
        <w:t>Comments</w:t>
      </w:r>
    </w:p>
    <w:p w:rsidR="00C030A6" w:rsidRPr="00EB3F80" w:rsidRDefault="00C030A6" w:rsidP="00C030A6">
      <w:pPr>
        <w:spacing w:line="360" w:lineRule="auto"/>
        <w:ind w:firstLine="720"/>
        <w:rPr>
          <w:sz w:val="26"/>
          <w:szCs w:val="26"/>
        </w:rPr>
      </w:pPr>
    </w:p>
    <w:p w:rsidR="00C030A6" w:rsidRPr="00EB3F80" w:rsidRDefault="00755D49" w:rsidP="00C030A6">
      <w:pPr>
        <w:spacing w:line="360" w:lineRule="auto"/>
        <w:ind w:firstLine="720"/>
        <w:rPr>
          <w:sz w:val="26"/>
          <w:szCs w:val="26"/>
        </w:rPr>
      </w:pPr>
      <w:r w:rsidRPr="00755D49">
        <w:rPr>
          <w:sz w:val="26"/>
          <w:szCs w:val="26"/>
        </w:rPr>
        <w:t xml:space="preserve">The EAPA supported minor clarifications to the TRM. </w:t>
      </w:r>
      <w:r w:rsidR="00E375A9">
        <w:rPr>
          <w:sz w:val="26"/>
          <w:szCs w:val="26"/>
        </w:rPr>
        <w:t xml:space="preserve"> </w:t>
      </w:r>
      <w:proofErr w:type="gramStart"/>
      <w:r w:rsidRPr="00755D49">
        <w:rPr>
          <w:sz w:val="26"/>
          <w:szCs w:val="26"/>
        </w:rPr>
        <w:t>(EAP</w:t>
      </w:r>
      <w:r w:rsidR="00BA1FFF">
        <w:rPr>
          <w:sz w:val="26"/>
          <w:szCs w:val="26"/>
        </w:rPr>
        <w:t>A</w:t>
      </w:r>
      <w:r w:rsidRPr="00755D49">
        <w:rPr>
          <w:sz w:val="26"/>
          <w:szCs w:val="26"/>
        </w:rPr>
        <w:t xml:space="preserve"> </w:t>
      </w:r>
      <w:r w:rsidR="00E375A9">
        <w:rPr>
          <w:sz w:val="26"/>
          <w:szCs w:val="26"/>
        </w:rPr>
        <w:t>C</w:t>
      </w:r>
      <w:r w:rsidRPr="00755D49">
        <w:rPr>
          <w:sz w:val="26"/>
          <w:szCs w:val="26"/>
        </w:rPr>
        <w:t>omments at 4</w:t>
      </w:r>
      <w:r w:rsidR="00E375A9">
        <w:rPr>
          <w:sz w:val="26"/>
          <w:szCs w:val="26"/>
        </w:rPr>
        <w:t>.</w:t>
      </w:r>
      <w:r w:rsidRPr="00755D49">
        <w:rPr>
          <w:sz w:val="26"/>
          <w:szCs w:val="26"/>
        </w:rPr>
        <w:t>)</w:t>
      </w:r>
      <w:proofErr w:type="gramEnd"/>
      <w:r w:rsidRPr="00755D49">
        <w:rPr>
          <w:sz w:val="26"/>
          <w:szCs w:val="26"/>
        </w:rPr>
        <w:t xml:space="preserve">  The EAPA stated that it expects the TRM to change over t</w:t>
      </w:r>
      <w:r w:rsidR="00E375A9">
        <w:rPr>
          <w:sz w:val="26"/>
          <w:szCs w:val="26"/>
        </w:rPr>
        <w:t xml:space="preserve">ime to incorporate current data that </w:t>
      </w:r>
      <w:r w:rsidRPr="00755D49">
        <w:rPr>
          <w:sz w:val="26"/>
          <w:szCs w:val="26"/>
        </w:rPr>
        <w:t>reflect</w:t>
      </w:r>
      <w:r w:rsidR="00E375A9">
        <w:rPr>
          <w:sz w:val="26"/>
          <w:szCs w:val="26"/>
        </w:rPr>
        <w:t>s</w:t>
      </w:r>
      <w:r w:rsidRPr="00755D49">
        <w:rPr>
          <w:sz w:val="26"/>
          <w:szCs w:val="26"/>
        </w:rPr>
        <w:t xml:space="preserve"> changes in national or state energy efficiency codes</w:t>
      </w:r>
      <w:r w:rsidR="00E375A9">
        <w:rPr>
          <w:sz w:val="26"/>
          <w:szCs w:val="26"/>
        </w:rPr>
        <w:t>.</w:t>
      </w:r>
      <w:r w:rsidRPr="00755D49">
        <w:rPr>
          <w:sz w:val="26"/>
          <w:szCs w:val="26"/>
        </w:rPr>
        <w:t xml:space="preserve">  The EAPA goes on to offer that any changes require consideration of the impact on EDC EE&amp;C plans</w:t>
      </w:r>
      <w:r w:rsidR="00E375A9">
        <w:rPr>
          <w:sz w:val="26"/>
          <w:szCs w:val="26"/>
        </w:rPr>
        <w:t xml:space="preserve"> before being adopted in the TRM</w:t>
      </w:r>
      <w:r w:rsidRPr="00755D49">
        <w:rPr>
          <w:sz w:val="26"/>
          <w:szCs w:val="26"/>
        </w:rPr>
        <w:t xml:space="preserve">. </w:t>
      </w:r>
      <w:r w:rsidR="00E375A9">
        <w:rPr>
          <w:sz w:val="26"/>
          <w:szCs w:val="26"/>
        </w:rPr>
        <w:t xml:space="preserve"> </w:t>
      </w:r>
      <w:proofErr w:type="gramStart"/>
      <w:r w:rsidRPr="00755D49">
        <w:rPr>
          <w:sz w:val="26"/>
          <w:szCs w:val="26"/>
        </w:rPr>
        <w:t>(EAP</w:t>
      </w:r>
      <w:r w:rsidR="002F2CA2">
        <w:rPr>
          <w:caps/>
          <w:sz w:val="26"/>
          <w:szCs w:val="26"/>
        </w:rPr>
        <w:t>A</w:t>
      </w:r>
      <w:r w:rsidRPr="00755D49">
        <w:rPr>
          <w:sz w:val="26"/>
          <w:szCs w:val="26"/>
        </w:rPr>
        <w:t xml:space="preserve"> </w:t>
      </w:r>
      <w:r w:rsidR="00E375A9">
        <w:rPr>
          <w:sz w:val="26"/>
          <w:szCs w:val="26"/>
        </w:rPr>
        <w:t>C</w:t>
      </w:r>
      <w:r w:rsidRPr="00755D49">
        <w:rPr>
          <w:sz w:val="26"/>
          <w:szCs w:val="26"/>
        </w:rPr>
        <w:t>omments at 7</w:t>
      </w:r>
      <w:r w:rsidR="00E375A9">
        <w:rPr>
          <w:sz w:val="26"/>
          <w:szCs w:val="26"/>
        </w:rPr>
        <w:t>.</w:t>
      </w:r>
      <w:r w:rsidRPr="00755D49">
        <w:rPr>
          <w:sz w:val="26"/>
          <w:szCs w:val="26"/>
        </w:rPr>
        <w:t>)</w:t>
      </w:r>
      <w:proofErr w:type="gramEnd"/>
    </w:p>
    <w:p w:rsidR="00C030A6" w:rsidRPr="00EB3F80" w:rsidRDefault="00C030A6" w:rsidP="00C030A6">
      <w:pPr>
        <w:spacing w:line="360" w:lineRule="auto"/>
        <w:ind w:firstLine="720"/>
        <w:rPr>
          <w:i/>
          <w:sz w:val="26"/>
          <w:szCs w:val="26"/>
        </w:rPr>
      </w:pPr>
    </w:p>
    <w:p w:rsidR="00C030A6" w:rsidRPr="00EB3F80" w:rsidRDefault="00C030A6" w:rsidP="00C030A6">
      <w:pPr>
        <w:spacing w:line="360" w:lineRule="auto"/>
        <w:ind w:firstLine="720"/>
        <w:rPr>
          <w:sz w:val="26"/>
          <w:szCs w:val="26"/>
        </w:rPr>
      </w:pPr>
      <w:r w:rsidRPr="00EB3F80">
        <w:rPr>
          <w:sz w:val="26"/>
          <w:szCs w:val="26"/>
        </w:rPr>
        <w:t>Duquesne commented that the TRM should not impose the referenced ASHRAE standards on retrofit projects and programs, and any changes to published minimum baseline HVAC efficiencies should differentiate between retrofit and new construction.</w:t>
      </w:r>
      <w:r w:rsidR="000C445F" w:rsidRPr="00EB3F80">
        <w:rPr>
          <w:sz w:val="26"/>
          <w:szCs w:val="26"/>
        </w:rPr>
        <w:t xml:space="preserve">  </w:t>
      </w:r>
      <w:r w:rsidRPr="00EB3F80">
        <w:rPr>
          <w:sz w:val="26"/>
          <w:szCs w:val="26"/>
        </w:rPr>
        <w:t xml:space="preserve">Duquesne stated that ASHRAE 90.1-2007 is applicable to new construction and major retrofit projects subject to new construction codes and standards, and Duquesne’s portfolio does not include any new construction programs.  Additionally, the revised </w:t>
      </w:r>
      <w:r w:rsidRPr="00EB3F80">
        <w:rPr>
          <w:sz w:val="26"/>
          <w:szCs w:val="26"/>
        </w:rPr>
        <w:lastRenderedPageBreak/>
        <w:t xml:space="preserve">values exceed current minimum federal standards for existing building retrofit projects and programs. </w:t>
      </w:r>
      <w:r w:rsidR="00084CCE">
        <w:rPr>
          <w:sz w:val="26"/>
          <w:szCs w:val="26"/>
        </w:rPr>
        <w:t xml:space="preserve"> </w:t>
      </w:r>
      <w:proofErr w:type="gramStart"/>
      <w:r w:rsidRPr="00EB3F80">
        <w:rPr>
          <w:sz w:val="26"/>
          <w:szCs w:val="26"/>
        </w:rPr>
        <w:t xml:space="preserve">(Duquesne </w:t>
      </w:r>
      <w:r w:rsidR="00084CCE">
        <w:rPr>
          <w:sz w:val="26"/>
          <w:szCs w:val="26"/>
        </w:rPr>
        <w:t>C</w:t>
      </w:r>
      <w:r w:rsidRPr="00EB3F80">
        <w:rPr>
          <w:sz w:val="26"/>
          <w:szCs w:val="26"/>
        </w:rPr>
        <w:t>omments at 5</w:t>
      </w:r>
      <w:r w:rsidR="00084CCE">
        <w:rPr>
          <w:sz w:val="26"/>
          <w:szCs w:val="26"/>
        </w:rPr>
        <w:t>.</w:t>
      </w:r>
      <w:r w:rsidRPr="00EB3F80">
        <w:rPr>
          <w:sz w:val="26"/>
          <w:szCs w:val="26"/>
        </w:rPr>
        <w:t>)</w:t>
      </w:r>
      <w:proofErr w:type="gramEnd"/>
    </w:p>
    <w:p w:rsidR="00C030A6" w:rsidRPr="00EB3F80" w:rsidRDefault="00C030A6" w:rsidP="00C030A6">
      <w:pPr>
        <w:spacing w:line="360" w:lineRule="auto"/>
        <w:ind w:firstLine="720"/>
        <w:rPr>
          <w:sz w:val="26"/>
          <w:szCs w:val="26"/>
        </w:rPr>
      </w:pPr>
    </w:p>
    <w:p w:rsidR="00C030A6" w:rsidRPr="00EB3F80" w:rsidRDefault="00C030A6" w:rsidP="00B867DD">
      <w:pPr>
        <w:spacing w:line="360" w:lineRule="auto"/>
        <w:ind w:firstLine="720"/>
        <w:rPr>
          <w:sz w:val="26"/>
          <w:szCs w:val="26"/>
        </w:rPr>
      </w:pPr>
      <w:r w:rsidRPr="00EB3F80">
        <w:rPr>
          <w:sz w:val="26"/>
          <w:szCs w:val="26"/>
        </w:rPr>
        <w:t xml:space="preserve">PECO requested that the TRM sections related to equipment performance, where there is a new minimum code, be expanded to include new construction.  PECO believed that new construction projects can use the same algorithms, baseline equipment performance, operating hours and other factors that the TRM provides for retrofit projects. </w:t>
      </w:r>
      <w:r w:rsidR="00F919E7">
        <w:rPr>
          <w:sz w:val="26"/>
          <w:szCs w:val="26"/>
        </w:rPr>
        <w:t xml:space="preserve"> </w:t>
      </w:r>
      <w:r w:rsidR="00B867DD" w:rsidRPr="00EB3F80">
        <w:rPr>
          <w:sz w:val="26"/>
          <w:szCs w:val="26"/>
        </w:rPr>
        <w:t>PECO stated that Table 3-21</w:t>
      </w:r>
      <w:r w:rsidR="00F919E7">
        <w:rPr>
          <w:sz w:val="26"/>
          <w:szCs w:val="26"/>
        </w:rPr>
        <w:t>:</w:t>
      </w:r>
      <w:r w:rsidR="00B867DD" w:rsidRPr="00EB3F80">
        <w:rPr>
          <w:sz w:val="26"/>
          <w:szCs w:val="26"/>
        </w:rPr>
        <w:t xml:space="preserve"> Baseline SEER and EER Values should be adjusted and </w:t>
      </w:r>
      <w:r w:rsidR="00084CCE">
        <w:rPr>
          <w:sz w:val="26"/>
          <w:szCs w:val="26"/>
        </w:rPr>
        <w:t>n</w:t>
      </w:r>
      <w:r w:rsidR="00B867DD" w:rsidRPr="00EB3F80">
        <w:rPr>
          <w:sz w:val="26"/>
          <w:szCs w:val="26"/>
        </w:rPr>
        <w:t xml:space="preserve">ew </w:t>
      </w:r>
      <w:r w:rsidR="00084CCE">
        <w:rPr>
          <w:sz w:val="26"/>
          <w:szCs w:val="26"/>
        </w:rPr>
        <w:t>c</w:t>
      </w:r>
      <w:r w:rsidR="00B867DD" w:rsidRPr="00EB3F80">
        <w:rPr>
          <w:sz w:val="26"/>
          <w:szCs w:val="26"/>
        </w:rPr>
        <w:t xml:space="preserve">onstruction values added. </w:t>
      </w:r>
      <w:r w:rsidR="00084CCE">
        <w:rPr>
          <w:sz w:val="26"/>
          <w:szCs w:val="26"/>
        </w:rPr>
        <w:t xml:space="preserve"> </w:t>
      </w:r>
      <w:proofErr w:type="gramStart"/>
      <w:r w:rsidRPr="00EB3F80">
        <w:rPr>
          <w:sz w:val="26"/>
          <w:szCs w:val="26"/>
        </w:rPr>
        <w:t xml:space="preserve">(PECO </w:t>
      </w:r>
      <w:r w:rsidR="00084CCE">
        <w:rPr>
          <w:sz w:val="26"/>
          <w:szCs w:val="26"/>
        </w:rPr>
        <w:t>C</w:t>
      </w:r>
      <w:r w:rsidRPr="00EB3F80">
        <w:rPr>
          <w:sz w:val="26"/>
          <w:szCs w:val="26"/>
        </w:rPr>
        <w:t>omments at 10</w:t>
      </w:r>
      <w:r w:rsidR="00084CCE">
        <w:rPr>
          <w:sz w:val="26"/>
          <w:szCs w:val="26"/>
        </w:rPr>
        <w:t>.</w:t>
      </w:r>
      <w:r w:rsidRPr="00EB3F80">
        <w:rPr>
          <w:sz w:val="26"/>
          <w:szCs w:val="26"/>
        </w:rPr>
        <w:t>)</w:t>
      </w:r>
      <w:proofErr w:type="gramEnd"/>
    </w:p>
    <w:p w:rsidR="00C030A6" w:rsidRPr="00EB3F80" w:rsidRDefault="00C030A6" w:rsidP="00C030A6">
      <w:pPr>
        <w:spacing w:line="360" w:lineRule="auto"/>
        <w:rPr>
          <w:sz w:val="26"/>
          <w:szCs w:val="26"/>
        </w:rPr>
      </w:pPr>
    </w:p>
    <w:p w:rsidR="00697DBA" w:rsidRPr="00EB3F80" w:rsidRDefault="00697DBA" w:rsidP="00697DBA">
      <w:pPr>
        <w:spacing w:line="360" w:lineRule="auto"/>
        <w:ind w:firstLine="720"/>
        <w:rPr>
          <w:sz w:val="26"/>
          <w:szCs w:val="26"/>
        </w:rPr>
      </w:pPr>
      <w:r w:rsidRPr="00EB3F80">
        <w:rPr>
          <w:sz w:val="26"/>
          <w:szCs w:val="26"/>
        </w:rPr>
        <w:t xml:space="preserve">PPL noted that C&amp;I HVAC baseline efficiencies increased for </w:t>
      </w:r>
      <w:r w:rsidR="00596DAE" w:rsidRPr="00EB3F80">
        <w:rPr>
          <w:sz w:val="26"/>
          <w:szCs w:val="26"/>
        </w:rPr>
        <w:t>ASHPs</w:t>
      </w:r>
      <w:r w:rsidRPr="00EB3F80">
        <w:rPr>
          <w:sz w:val="26"/>
          <w:szCs w:val="26"/>
        </w:rPr>
        <w:t xml:space="preserve"> and central</w:t>
      </w:r>
      <w:r w:rsidR="00596DAE" w:rsidRPr="00EB3F80">
        <w:rPr>
          <w:sz w:val="26"/>
          <w:szCs w:val="26"/>
        </w:rPr>
        <w:t xml:space="preserve"> </w:t>
      </w:r>
      <w:r w:rsidR="00DB0FDF">
        <w:rPr>
          <w:sz w:val="26"/>
          <w:szCs w:val="26"/>
        </w:rPr>
        <w:t>air conditioner</w:t>
      </w:r>
      <w:r w:rsidR="00596DAE" w:rsidRPr="00EB3F80">
        <w:rPr>
          <w:sz w:val="26"/>
          <w:szCs w:val="26"/>
        </w:rPr>
        <w:t>s.</w:t>
      </w:r>
      <w:r w:rsidR="009F34FE">
        <w:rPr>
          <w:sz w:val="26"/>
          <w:szCs w:val="26"/>
        </w:rPr>
        <w:t xml:space="preserve">  PPL believed this change was intended to reflect the new IECC requirements, and PPL understood that these HVAC equipment measures assume replacement upon failure, so the baseline should be dictated by the current code.  PPL</w:t>
      </w:r>
      <w:r w:rsidR="00084CCE">
        <w:rPr>
          <w:sz w:val="26"/>
          <w:szCs w:val="26"/>
        </w:rPr>
        <w:t>, however,</w:t>
      </w:r>
      <w:r w:rsidR="009F34FE">
        <w:rPr>
          <w:sz w:val="26"/>
          <w:szCs w:val="26"/>
        </w:rPr>
        <w:t xml:space="preserve"> believed that this change will result in reduced savings </w:t>
      </w:r>
      <w:r w:rsidR="00084CCE">
        <w:rPr>
          <w:sz w:val="26"/>
          <w:szCs w:val="26"/>
        </w:rPr>
        <w:t>making</w:t>
      </w:r>
      <w:r w:rsidR="009F34FE">
        <w:rPr>
          <w:sz w:val="26"/>
          <w:szCs w:val="26"/>
        </w:rPr>
        <w:t xml:space="preserve"> program implementation </w:t>
      </w:r>
      <w:r w:rsidR="00084CCE">
        <w:rPr>
          <w:sz w:val="26"/>
          <w:szCs w:val="26"/>
        </w:rPr>
        <w:t xml:space="preserve">more </w:t>
      </w:r>
      <w:r w:rsidR="009F34FE">
        <w:rPr>
          <w:sz w:val="26"/>
          <w:szCs w:val="26"/>
        </w:rPr>
        <w:t xml:space="preserve">difficult.  For these reasons, PPL stated that this change should not become effective until June 1, 2013. </w:t>
      </w:r>
      <w:r w:rsidR="00DA3B9F">
        <w:rPr>
          <w:sz w:val="26"/>
          <w:szCs w:val="26"/>
        </w:rPr>
        <w:t xml:space="preserve"> </w:t>
      </w:r>
      <w:proofErr w:type="gramStart"/>
      <w:r w:rsidR="009F34FE">
        <w:rPr>
          <w:sz w:val="26"/>
          <w:szCs w:val="26"/>
        </w:rPr>
        <w:t xml:space="preserve">(PPL </w:t>
      </w:r>
      <w:r w:rsidR="00DA3B9F">
        <w:rPr>
          <w:sz w:val="26"/>
          <w:szCs w:val="26"/>
        </w:rPr>
        <w:t>C</w:t>
      </w:r>
      <w:r w:rsidR="009F34FE">
        <w:rPr>
          <w:sz w:val="26"/>
          <w:szCs w:val="26"/>
        </w:rPr>
        <w:t>omments at 28</w:t>
      </w:r>
      <w:r w:rsidR="00DA3B9F">
        <w:rPr>
          <w:sz w:val="26"/>
          <w:szCs w:val="26"/>
        </w:rPr>
        <w:t>.</w:t>
      </w:r>
      <w:r w:rsidR="009F34FE">
        <w:rPr>
          <w:sz w:val="26"/>
          <w:szCs w:val="26"/>
        </w:rPr>
        <w:t>)</w:t>
      </w:r>
      <w:proofErr w:type="gramEnd"/>
    </w:p>
    <w:p w:rsidR="00697DBA" w:rsidRPr="00EB3F80" w:rsidRDefault="00697DBA" w:rsidP="00C030A6">
      <w:pPr>
        <w:spacing w:line="360" w:lineRule="auto"/>
        <w:rPr>
          <w:sz w:val="26"/>
          <w:szCs w:val="26"/>
        </w:rPr>
      </w:pPr>
    </w:p>
    <w:p w:rsidR="00C030A6" w:rsidRPr="00EB3F80" w:rsidRDefault="009F34FE" w:rsidP="00C030A6">
      <w:pPr>
        <w:spacing w:line="360" w:lineRule="auto"/>
        <w:ind w:firstLine="720"/>
        <w:rPr>
          <w:sz w:val="26"/>
          <w:szCs w:val="26"/>
        </w:rPr>
      </w:pPr>
      <w:r>
        <w:rPr>
          <w:sz w:val="26"/>
          <w:szCs w:val="26"/>
        </w:rPr>
        <w:t>PPL and FirstEnergy state</w:t>
      </w:r>
      <w:r w:rsidR="00DB0FDF">
        <w:rPr>
          <w:sz w:val="26"/>
          <w:szCs w:val="26"/>
        </w:rPr>
        <w:t>d</w:t>
      </w:r>
      <w:r>
        <w:rPr>
          <w:sz w:val="26"/>
          <w:szCs w:val="26"/>
        </w:rPr>
        <w:t xml:space="preserve"> that the proposed baseline for the GSHP is inconsistent with the residential sector</w:t>
      </w:r>
      <w:r w:rsidR="000933C1">
        <w:rPr>
          <w:sz w:val="26"/>
          <w:szCs w:val="26"/>
        </w:rPr>
        <w:t>,</w:t>
      </w:r>
      <w:r>
        <w:rPr>
          <w:sz w:val="26"/>
          <w:szCs w:val="26"/>
        </w:rPr>
        <w:t xml:space="preserve"> where the baseline is the ASHP.  PPL stated that the GSHP is not the appropriate baseline because the incentive is not designed to promote a higher efficiency GSHP, but rather to promote a GSHP instead of an ASHP. </w:t>
      </w:r>
      <w:proofErr w:type="gramStart"/>
      <w:r>
        <w:rPr>
          <w:sz w:val="26"/>
          <w:szCs w:val="26"/>
        </w:rPr>
        <w:t xml:space="preserve">(FirstEnergy </w:t>
      </w:r>
      <w:r w:rsidR="00DA3B9F">
        <w:rPr>
          <w:sz w:val="26"/>
          <w:szCs w:val="26"/>
        </w:rPr>
        <w:t>C</w:t>
      </w:r>
      <w:r>
        <w:rPr>
          <w:sz w:val="26"/>
          <w:szCs w:val="26"/>
        </w:rPr>
        <w:t xml:space="preserve">omments at 16 </w:t>
      </w:r>
      <w:r w:rsidR="00DA3B9F">
        <w:rPr>
          <w:sz w:val="26"/>
          <w:szCs w:val="26"/>
        </w:rPr>
        <w:t xml:space="preserve">and </w:t>
      </w:r>
      <w:r>
        <w:rPr>
          <w:sz w:val="26"/>
          <w:szCs w:val="26"/>
        </w:rPr>
        <w:t xml:space="preserve">PPL </w:t>
      </w:r>
      <w:r w:rsidR="00DA3B9F">
        <w:rPr>
          <w:sz w:val="26"/>
          <w:szCs w:val="26"/>
        </w:rPr>
        <w:t>C</w:t>
      </w:r>
      <w:r>
        <w:rPr>
          <w:sz w:val="26"/>
          <w:szCs w:val="26"/>
        </w:rPr>
        <w:t>omments at 29</w:t>
      </w:r>
      <w:r w:rsidR="00DA3B9F">
        <w:rPr>
          <w:sz w:val="26"/>
          <w:szCs w:val="26"/>
        </w:rPr>
        <w:t>.</w:t>
      </w:r>
      <w:r>
        <w:rPr>
          <w:sz w:val="26"/>
          <w:szCs w:val="26"/>
        </w:rPr>
        <w:t>)</w:t>
      </w:r>
      <w:proofErr w:type="gramEnd"/>
    </w:p>
    <w:p w:rsidR="00C030A6" w:rsidRPr="00EB3F80" w:rsidRDefault="00C030A6" w:rsidP="00C030A6">
      <w:pPr>
        <w:spacing w:line="360" w:lineRule="auto"/>
        <w:rPr>
          <w:sz w:val="26"/>
          <w:szCs w:val="26"/>
        </w:rPr>
      </w:pPr>
    </w:p>
    <w:p w:rsidR="00C030A6" w:rsidRPr="00EB3F80" w:rsidRDefault="009F34FE" w:rsidP="00C030A6">
      <w:pPr>
        <w:spacing w:line="360" w:lineRule="auto"/>
        <w:ind w:firstLine="720"/>
        <w:rPr>
          <w:sz w:val="26"/>
          <w:szCs w:val="26"/>
        </w:rPr>
      </w:pPr>
      <w:r>
        <w:rPr>
          <w:sz w:val="26"/>
          <w:szCs w:val="26"/>
        </w:rPr>
        <w:t xml:space="preserve">PECO believed that the modification and truncation of the values from IECC 2009 Table 503-2-3(7) and the addition of the qualifiers Primarily Full Load and Primarily Part Load in the Path A and Path B headers of Table 3-25 are unclear and will result in inconsistent application of the baseline values in the savings algorithms.  </w:t>
      </w:r>
      <w:r w:rsidR="00DA3B9F">
        <w:rPr>
          <w:sz w:val="26"/>
          <w:szCs w:val="26"/>
        </w:rPr>
        <w:t>PECO noted that</w:t>
      </w:r>
      <w:r>
        <w:rPr>
          <w:sz w:val="26"/>
          <w:szCs w:val="26"/>
        </w:rPr>
        <w:t xml:space="preserve"> this protocol also does not allow for trade-offs between peak demand impacts and </w:t>
      </w:r>
      <w:r>
        <w:rPr>
          <w:sz w:val="26"/>
          <w:szCs w:val="26"/>
        </w:rPr>
        <w:lastRenderedPageBreak/>
        <w:t xml:space="preserve">annual kWh impacts.  PECO further recommended that Table 3-25 be modified to be consistent with the source table from IECC 2009. </w:t>
      </w:r>
      <w:r w:rsidR="00DA3B9F">
        <w:rPr>
          <w:sz w:val="26"/>
          <w:szCs w:val="26"/>
        </w:rPr>
        <w:t xml:space="preserve"> </w:t>
      </w:r>
      <w:proofErr w:type="gramStart"/>
      <w:r>
        <w:rPr>
          <w:sz w:val="26"/>
          <w:szCs w:val="26"/>
        </w:rPr>
        <w:t xml:space="preserve">(PECO </w:t>
      </w:r>
      <w:r w:rsidR="00DA3B9F">
        <w:rPr>
          <w:sz w:val="26"/>
          <w:szCs w:val="26"/>
        </w:rPr>
        <w:t>C</w:t>
      </w:r>
      <w:r>
        <w:rPr>
          <w:sz w:val="26"/>
          <w:szCs w:val="26"/>
        </w:rPr>
        <w:t xml:space="preserve">omments Appendix </w:t>
      </w:r>
      <w:r w:rsidR="00DA3B9F">
        <w:rPr>
          <w:sz w:val="26"/>
          <w:szCs w:val="26"/>
        </w:rPr>
        <w:t>at</w:t>
      </w:r>
      <w:r>
        <w:rPr>
          <w:sz w:val="26"/>
          <w:szCs w:val="26"/>
        </w:rPr>
        <w:t xml:space="preserve"> 4</w:t>
      </w:r>
      <w:r w:rsidR="00DA3B9F">
        <w:rPr>
          <w:sz w:val="26"/>
          <w:szCs w:val="26"/>
        </w:rPr>
        <w:t>.</w:t>
      </w:r>
      <w:r>
        <w:rPr>
          <w:sz w:val="26"/>
          <w:szCs w:val="26"/>
        </w:rPr>
        <w:t>)</w:t>
      </w:r>
      <w:proofErr w:type="gramEnd"/>
    </w:p>
    <w:p w:rsidR="00DA3B9F" w:rsidRDefault="00DA3B9F" w:rsidP="00C030A6">
      <w:pPr>
        <w:spacing w:line="360" w:lineRule="auto"/>
        <w:ind w:firstLine="720"/>
        <w:rPr>
          <w:b/>
          <w:sz w:val="26"/>
          <w:szCs w:val="26"/>
        </w:rPr>
      </w:pPr>
    </w:p>
    <w:p w:rsidR="00C030A6" w:rsidRPr="00DA3B9F" w:rsidRDefault="009F34FE" w:rsidP="0052550D">
      <w:pPr>
        <w:pStyle w:val="ListParagraph"/>
        <w:numPr>
          <w:ilvl w:val="0"/>
          <w:numId w:val="21"/>
        </w:numPr>
        <w:spacing w:line="360" w:lineRule="auto"/>
        <w:ind w:left="2160" w:hanging="720"/>
        <w:rPr>
          <w:b/>
          <w:sz w:val="26"/>
          <w:szCs w:val="26"/>
        </w:rPr>
      </w:pPr>
      <w:r w:rsidRPr="00DA3B9F">
        <w:rPr>
          <w:b/>
          <w:sz w:val="26"/>
          <w:szCs w:val="26"/>
        </w:rPr>
        <w:t>Disposition</w:t>
      </w:r>
    </w:p>
    <w:p w:rsidR="00C030A6" w:rsidRPr="00EB3F80" w:rsidRDefault="00C030A6" w:rsidP="00C030A6">
      <w:pPr>
        <w:spacing w:line="360" w:lineRule="auto"/>
        <w:rPr>
          <w:b/>
          <w:sz w:val="26"/>
          <w:szCs w:val="26"/>
        </w:rPr>
      </w:pPr>
    </w:p>
    <w:p w:rsidR="00B867DD" w:rsidRPr="00EB3F80" w:rsidRDefault="009F34FE" w:rsidP="00B867DD">
      <w:pPr>
        <w:spacing w:line="360" w:lineRule="auto"/>
        <w:ind w:firstLine="720"/>
        <w:rPr>
          <w:sz w:val="26"/>
          <w:szCs w:val="26"/>
        </w:rPr>
      </w:pPr>
      <w:r>
        <w:rPr>
          <w:sz w:val="26"/>
          <w:szCs w:val="26"/>
        </w:rPr>
        <w:t xml:space="preserve">Pennsylvania has adopted the 2009 International Energy Conservation Code (IECC) </w:t>
      </w:r>
      <w:r w:rsidR="00FB2068">
        <w:rPr>
          <w:sz w:val="26"/>
          <w:szCs w:val="26"/>
        </w:rPr>
        <w:t>pursuant to</w:t>
      </w:r>
      <w:r>
        <w:rPr>
          <w:sz w:val="26"/>
          <w:szCs w:val="26"/>
        </w:rPr>
        <w:t xml:space="preserve"> 34 Pa. Code </w:t>
      </w:r>
      <w:r w:rsidR="00FB2068">
        <w:rPr>
          <w:sz w:val="26"/>
          <w:szCs w:val="26"/>
        </w:rPr>
        <w:t>§</w:t>
      </w:r>
      <w:r>
        <w:rPr>
          <w:sz w:val="26"/>
          <w:szCs w:val="26"/>
        </w:rPr>
        <w:t xml:space="preserve"> 403.21</w:t>
      </w:r>
      <w:r w:rsidR="0066351D">
        <w:rPr>
          <w:sz w:val="26"/>
          <w:szCs w:val="26"/>
        </w:rPr>
        <w:t xml:space="preserve"> (Uniform Construction Code)</w:t>
      </w:r>
      <w:r>
        <w:rPr>
          <w:sz w:val="26"/>
          <w:szCs w:val="26"/>
        </w:rPr>
        <w:t xml:space="preserve">, effective </w:t>
      </w:r>
      <w:r w:rsidR="00FB2068">
        <w:rPr>
          <w:sz w:val="26"/>
          <w:szCs w:val="26"/>
        </w:rPr>
        <w:t>December 31, 2009</w:t>
      </w:r>
      <w:r>
        <w:rPr>
          <w:sz w:val="26"/>
          <w:szCs w:val="26"/>
        </w:rPr>
        <w:t xml:space="preserve">, by reference to the International Building code and the ICC electrical code.  The TRM has been amended </w:t>
      </w:r>
      <w:r w:rsidR="00921E16">
        <w:rPr>
          <w:sz w:val="26"/>
          <w:szCs w:val="26"/>
        </w:rPr>
        <w:t>consistent with</w:t>
      </w:r>
      <w:r>
        <w:rPr>
          <w:sz w:val="26"/>
          <w:szCs w:val="26"/>
        </w:rPr>
        <w:t xml:space="preserve"> the new </w:t>
      </w:r>
      <w:r w:rsidR="00FB2068">
        <w:rPr>
          <w:sz w:val="26"/>
          <w:szCs w:val="26"/>
        </w:rPr>
        <w:t>Pennsylvania</w:t>
      </w:r>
      <w:r>
        <w:rPr>
          <w:sz w:val="26"/>
          <w:szCs w:val="26"/>
        </w:rPr>
        <w:t xml:space="preserve"> </w:t>
      </w:r>
      <w:r w:rsidR="00921E16">
        <w:rPr>
          <w:sz w:val="26"/>
          <w:szCs w:val="26"/>
        </w:rPr>
        <w:t>Uniform Construction Code</w:t>
      </w:r>
      <w:r>
        <w:rPr>
          <w:sz w:val="26"/>
          <w:szCs w:val="26"/>
        </w:rPr>
        <w:t xml:space="preserve">.  The Commission believes that </w:t>
      </w:r>
      <w:r w:rsidR="00FB2068">
        <w:rPr>
          <w:sz w:val="26"/>
          <w:szCs w:val="26"/>
        </w:rPr>
        <w:t xml:space="preserve">the </w:t>
      </w:r>
      <w:r w:rsidR="0066351D">
        <w:rPr>
          <w:sz w:val="26"/>
          <w:szCs w:val="26"/>
        </w:rPr>
        <w:t>Uniform Construction C</w:t>
      </w:r>
      <w:r>
        <w:rPr>
          <w:sz w:val="26"/>
          <w:szCs w:val="26"/>
        </w:rPr>
        <w:t xml:space="preserve">ode should dictate minimum efficiency levels and baseline conditions for C&amp;I lighting, motors, and HVAC measures. </w:t>
      </w:r>
      <w:r w:rsidR="000933C1">
        <w:rPr>
          <w:sz w:val="26"/>
          <w:szCs w:val="26"/>
        </w:rPr>
        <w:t xml:space="preserve"> </w:t>
      </w:r>
      <w:r>
        <w:rPr>
          <w:sz w:val="26"/>
          <w:szCs w:val="26"/>
        </w:rPr>
        <w:t xml:space="preserve">IECC 2009 </w:t>
      </w:r>
      <w:r w:rsidR="0066351D">
        <w:rPr>
          <w:sz w:val="26"/>
          <w:szCs w:val="26"/>
        </w:rPr>
        <w:t>§</w:t>
      </w:r>
      <w:r>
        <w:rPr>
          <w:sz w:val="26"/>
          <w:szCs w:val="26"/>
        </w:rPr>
        <w:t xml:space="preserve"> 503.2.3 stipulates HVAC equipment performance requirements for commercial air conditioners, heat pumps, and chillers in new commercial buildings and additions to commercial buildings.  </w:t>
      </w:r>
    </w:p>
    <w:p w:rsidR="00C030A6" w:rsidRPr="00EB3F80" w:rsidRDefault="00C030A6" w:rsidP="00C030A6">
      <w:pPr>
        <w:spacing w:line="360" w:lineRule="auto"/>
        <w:rPr>
          <w:sz w:val="26"/>
          <w:szCs w:val="26"/>
        </w:rPr>
      </w:pPr>
    </w:p>
    <w:p w:rsidR="00B867DD" w:rsidRPr="00EB3F80" w:rsidRDefault="009F34FE" w:rsidP="00C030A6">
      <w:pPr>
        <w:spacing w:line="360" w:lineRule="auto"/>
        <w:rPr>
          <w:sz w:val="26"/>
          <w:szCs w:val="26"/>
        </w:rPr>
      </w:pPr>
      <w:r>
        <w:rPr>
          <w:sz w:val="26"/>
          <w:szCs w:val="26"/>
        </w:rPr>
        <w:tab/>
        <w:t xml:space="preserve">Consistent with </w:t>
      </w:r>
      <w:r w:rsidR="00F31D79">
        <w:rPr>
          <w:sz w:val="26"/>
          <w:szCs w:val="26"/>
        </w:rPr>
        <w:t xml:space="preserve">Section C, Subsection </w:t>
      </w:r>
      <w:r w:rsidR="00C13EB4">
        <w:rPr>
          <w:sz w:val="26"/>
          <w:szCs w:val="26"/>
        </w:rPr>
        <w:t>4</w:t>
      </w:r>
      <w:r w:rsidR="00921E16">
        <w:rPr>
          <w:sz w:val="26"/>
          <w:szCs w:val="26"/>
        </w:rPr>
        <w:t xml:space="preserve"> above</w:t>
      </w:r>
      <w:r>
        <w:rPr>
          <w:sz w:val="26"/>
          <w:szCs w:val="26"/>
        </w:rPr>
        <w:t xml:space="preserve">, the Commission agrees with PECO’s </w:t>
      </w:r>
      <w:r w:rsidR="00FB2068">
        <w:rPr>
          <w:sz w:val="26"/>
          <w:szCs w:val="26"/>
        </w:rPr>
        <w:t xml:space="preserve">suggestion </w:t>
      </w:r>
      <w:r>
        <w:rPr>
          <w:sz w:val="26"/>
          <w:szCs w:val="26"/>
        </w:rPr>
        <w:t xml:space="preserve">to modify Table 3-21 to </w:t>
      </w:r>
      <w:r w:rsidR="00921E16">
        <w:rPr>
          <w:sz w:val="26"/>
          <w:szCs w:val="26"/>
        </w:rPr>
        <w:t>make it</w:t>
      </w:r>
      <w:r>
        <w:rPr>
          <w:sz w:val="26"/>
          <w:szCs w:val="26"/>
        </w:rPr>
        <w:t xml:space="preserve"> consistent with IECC 2009 and to include an additiona</w:t>
      </w:r>
      <w:r w:rsidR="00FB2068">
        <w:rPr>
          <w:sz w:val="26"/>
          <w:szCs w:val="26"/>
        </w:rPr>
        <w:t>l measure for new construction.</w:t>
      </w:r>
      <w:r w:rsidR="00921E16">
        <w:rPr>
          <w:sz w:val="26"/>
          <w:szCs w:val="26"/>
        </w:rPr>
        <w:t xml:space="preserve">  T</w:t>
      </w:r>
      <w:r>
        <w:rPr>
          <w:sz w:val="26"/>
          <w:szCs w:val="26"/>
        </w:rPr>
        <w:t>he Commission</w:t>
      </w:r>
      <w:r w:rsidR="00921E16">
        <w:rPr>
          <w:sz w:val="26"/>
          <w:szCs w:val="26"/>
        </w:rPr>
        <w:t xml:space="preserve">, however, </w:t>
      </w:r>
      <w:r>
        <w:rPr>
          <w:sz w:val="26"/>
          <w:szCs w:val="26"/>
        </w:rPr>
        <w:t xml:space="preserve">rejects PPL’s </w:t>
      </w:r>
      <w:r w:rsidR="000C6A7D">
        <w:rPr>
          <w:sz w:val="26"/>
          <w:szCs w:val="26"/>
        </w:rPr>
        <w:t>suggestion</w:t>
      </w:r>
      <w:r>
        <w:rPr>
          <w:sz w:val="26"/>
          <w:szCs w:val="26"/>
        </w:rPr>
        <w:t xml:space="preserve"> that the baseline for </w:t>
      </w:r>
      <w:r w:rsidR="00EB537A">
        <w:rPr>
          <w:sz w:val="26"/>
          <w:szCs w:val="26"/>
        </w:rPr>
        <w:t>GSHPs</w:t>
      </w:r>
      <w:r>
        <w:rPr>
          <w:sz w:val="26"/>
          <w:szCs w:val="26"/>
        </w:rPr>
        <w:t xml:space="preserve">, Groundwater-Source Heat Pump and </w:t>
      </w:r>
      <w:r w:rsidR="00EB537A">
        <w:rPr>
          <w:sz w:val="26"/>
          <w:szCs w:val="26"/>
        </w:rPr>
        <w:t xml:space="preserve">WSHPs be changed to the ASHP baseline.  The Commission refers this issue </w:t>
      </w:r>
      <w:r>
        <w:rPr>
          <w:sz w:val="26"/>
          <w:szCs w:val="26"/>
        </w:rPr>
        <w:t>to the TWG</w:t>
      </w:r>
      <w:r w:rsidR="00EB537A">
        <w:rPr>
          <w:sz w:val="26"/>
          <w:szCs w:val="26"/>
        </w:rPr>
        <w:t xml:space="preserve"> to discuss and provide recommendations as to the appropriate baseline for GSHPs, Groundwater-Source Heat Pumps and WSHPs</w:t>
      </w:r>
      <w:r w:rsidR="004F220F">
        <w:rPr>
          <w:sz w:val="26"/>
          <w:szCs w:val="26"/>
        </w:rPr>
        <w:t>.</w:t>
      </w:r>
    </w:p>
    <w:p w:rsidR="00B867DD" w:rsidRPr="00EB3F80" w:rsidRDefault="00B867DD" w:rsidP="00C030A6">
      <w:pPr>
        <w:spacing w:line="360" w:lineRule="auto"/>
        <w:rPr>
          <w:sz w:val="26"/>
          <w:szCs w:val="26"/>
        </w:rPr>
      </w:pPr>
    </w:p>
    <w:p w:rsidR="003B3D8F" w:rsidRDefault="009F34FE" w:rsidP="00DB0FDF">
      <w:pPr>
        <w:spacing w:line="360" w:lineRule="auto"/>
        <w:ind w:firstLine="720"/>
        <w:rPr>
          <w:sz w:val="26"/>
          <w:szCs w:val="26"/>
        </w:rPr>
      </w:pPr>
      <w:r>
        <w:rPr>
          <w:sz w:val="26"/>
          <w:szCs w:val="26"/>
        </w:rPr>
        <w:t>The Commission believes that measures replaced upon failure or at end of useful life</w:t>
      </w:r>
      <w:r w:rsidR="00C030A6" w:rsidRPr="00EB3F80">
        <w:rPr>
          <w:sz w:val="26"/>
          <w:szCs w:val="26"/>
        </w:rPr>
        <w:t xml:space="preserve"> (</w:t>
      </w:r>
      <w:r w:rsidR="00C030A6" w:rsidRPr="004F220F">
        <w:rPr>
          <w:i/>
          <w:sz w:val="26"/>
          <w:szCs w:val="26"/>
        </w:rPr>
        <w:t>i</w:t>
      </w:r>
      <w:r w:rsidR="00C030A6" w:rsidRPr="00EB3F80">
        <w:rPr>
          <w:sz w:val="26"/>
          <w:szCs w:val="26"/>
        </w:rPr>
        <w:t>.</w:t>
      </w:r>
      <w:r w:rsidR="00C030A6" w:rsidRPr="004F220F">
        <w:rPr>
          <w:i/>
          <w:sz w:val="26"/>
          <w:szCs w:val="26"/>
        </w:rPr>
        <w:t>e</w:t>
      </w:r>
      <w:r w:rsidR="00C030A6" w:rsidRPr="00EB3F80">
        <w:rPr>
          <w:sz w:val="26"/>
          <w:szCs w:val="26"/>
        </w:rPr>
        <w:t xml:space="preserve">. a customer </w:t>
      </w:r>
      <w:r w:rsidR="004F220F">
        <w:rPr>
          <w:sz w:val="26"/>
          <w:szCs w:val="26"/>
        </w:rPr>
        <w:t xml:space="preserve">who </w:t>
      </w:r>
      <w:r w:rsidR="00C030A6" w:rsidRPr="00EB3F80">
        <w:rPr>
          <w:sz w:val="26"/>
          <w:szCs w:val="26"/>
        </w:rPr>
        <w:t xml:space="preserve">has to replace the equipment regardless of program involvement) are typically treated in the same manner as new construction.  Code efficiency requirements should also dictate measure efficiency requirements in the case of replacement upon failure of existing equipment.  This requires that the minimum efficiency requirements listed in Section 503.2.3 of IECC 2009 be considered the </w:t>
      </w:r>
      <w:r w:rsidR="00C030A6" w:rsidRPr="00EB3F80">
        <w:rPr>
          <w:sz w:val="26"/>
          <w:szCs w:val="26"/>
        </w:rPr>
        <w:lastRenderedPageBreak/>
        <w:t xml:space="preserve">baseline efficiencies for air conditioners, heat pumps, and chillers in new commercial buildings, additions to commercial buildings, and in cases of replacement upon failure of HVAC equipment. </w:t>
      </w:r>
      <w:r w:rsidR="008A66C7">
        <w:rPr>
          <w:sz w:val="26"/>
          <w:szCs w:val="26"/>
        </w:rPr>
        <w:t xml:space="preserve"> </w:t>
      </w:r>
      <w:r w:rsidR="00C030A6" w:rsidRPr="00EB3F80">
        <w:rPr>
          <w:sz w:val="26"/>
          <w:szCs w:val="26"/>
        </w:rPr>
        <w:t xml:space="preserve">Replacement upon failure is treated as a distinct situation from replacement with remaining useful life, in which the customer chooses to make an investment in more efficient </w:t>
      </w:r>
      <w:r w:rsidR="00C030A6" w:rsidRPr="00A87FA8">
        <w:rPr>
          <w:sz w:val="26"/>
          <w:szCs w:val="26"/>
        </w:rPr>
        <w:t xml:space="preserve">replacement equipment when the existing equipment is still functional, often with significant program involvement.  In </w:t>
      </w:r>
      <w:r w:rsidR="000933C1" w:rsidRPr="00A87FA8">
        <w:rPr>
          <w:sz w:val="26"/>
          <w:szCs w:val="26"/>
        </w:rPr>
        <w:t>the</w:t>
      </w:r>
      <w:r w:rsidR="00C030A6" w:rsidRPr="00A87FA8">
        <w:rPr>
          <w:sz w:val="26"/>
          <w:szCs w:val="26"/>
        </w:rPr>
        <w:t xml:space="preserve"> latter case</w:t>
      </w:r>
      <w:r w:rsidR="000933C1" w:rsidRPr="00A87FA8">
        <w:rPr>
          <w:sz w:val="26"/>
          <w:szCs w:val="26"/>
        </w:rPr>
        <w:t>,</w:t>
      </w:r>
      <w:r w:rsidR="00C030A6" w:rsidRPr="00A87FA8">
        <w:rPr>
          <w:sz w:val="26"/>
          <w:szCs w:val="26"/>
        </w:rPr>
        <w:t xml:space="preserve"> the baseline may be considered to be the existing equipment</w:t>
      </w:r>
      <w:r w:rsidR="000933C1" w:rsidRPr="00A87FA8">
        <w:rPr>
          <w:sz w:val="26"/>
          <w:szCs w:val="26"/>
        </w:rPr>
        <w:t xml:space="preserve"> until that point in time when the equipment would have burned out or failed anyway.</w:t>
      </w:r>
      <w:r w:rsidR="00C030A6" w:rsidRPr="00EB3F80">
        <w:rPr>
          <w:sz w:val="26"/>
          <w:szCs w:val="26"/>
        </w:rPr>
        <w:t xml:space="preserve"> </w:t>
      </w:r>
      <w:r w:rsidR="000C6A7D">
        <w:rPr>
          <w:sz w:val="26"/>
          <w:szCs w:val="26"/>
        </w:rPr>
        <w:t xml:space="preserve"> </w:t>
      </w:r>
      <w:r w:rsidR="000933C1">
        <w:rPr>
          <w:sz w:val="26"/>
          <w:szCs w:val="26"/>
        </w:rPr>
        <w:t>Due to the complexity of the recommendations provided by the commenting parties, the Commission refers th</w:t>
      </w:r>
      <w:r w:rsidR="008A66C7">
        <w:rPr>
          <w:sz w:val="26"/>
          <w:szCs w:val="26"/>
        </w:rPr>
        <w:t>ese</w:t>
      </w:r>
      <w:r w:rsidR="000933C1">
        <w:rPr>
          <w:sz w:val="26"/>
          <w:szCs w:val="26"/>
        </w:rPr>
        <w:t xml:space="preserve"> matter</w:t>
      </w:r>
      <w:r w:rsidR="008A66C7">
        <w:rPr>
          <w:sz w:val="26"/>
          <w:szCs w:val="26"/>
        </w:rPr>
        <w:t>s</w:t>
      </w:r>
      <w:r w:rsidR="000933C1">
        <w:rPr>
          <w:sz w:val="26"/>
          <w:szCs w:val="26"/>
        </w:rPr>
        <w:t xml:space="preserve"> to the TWG to discuss and provide recommendations for future TRM updates. </w:t>
      </w:r>
    </w:p>
    <w:p w:rsidR="006B5753" w:rsidRPr="00EB3F80" w:rsidRDefault="006B5753" w:rsidP="006B5753">
      <w:pPr>
        <w:spacing w:line="360" w:lineRule="auto"/>
        <w:rPr>
          <w:b/>
          <w:sz w:val="26"/>
          <w:szCs w:val="26"/>
        </w:rPr>
      </w:pPr>
    </w:p>
    <w:p w:rsidR="00A4056B" w:rsidRDefault="00DE5428" w:rsidP="008A66C7">
      <w:pPr>
        <w:pStyle w:val="p3"/>
        <w:tabs>
          <w:tab w:val="clear" w:pos="204"/>
        </w:tabs>
        <w:spacing w:line="360" w:lineRule="auto"/>
        <w:ind w:left="720" w:hanging="720"/>
        <w:rPr>
          <w:b/>
          <w:sz w:val="26"/>
          <w:szCs w:val="26"/>
        </w:rPr>
      </w:pPr>
      <w:r w:rsidRPr="00EB3F80">
        <w:rPr>
          <w:b/>
          <w:sz w:val="26"/>
          <w:szCs w:val="26"/>
        </w:rPr>
        <w:t>E</w:t>
      </w:r>
      <w:r w:rsidR="006B5753" w:rsidRPr="00EB3F80">
        <w:rPr>
          <w:b/>
          <w:sz w:val="26"/>
          <w:szCs w:val="26"/>
        </w:rPr>
        <w:t xml:space="preserve">.  </w:t>
      </w:r>
      <w:r w:rsidR="008A66C7">
        <w:rPr>
          <w:b/>
          <w:sz w:val="26"/>
          <w:szCs w:val="26"/>
        </w:rPr>
        <w:tab/>
      </w:r>
      <w:r w:rsidR="0066770E" w:rsidRPr="00EB3F80">
        <w:rPr>
          <w:b/>
          <w:sz w:val="26"/>
          <w:szCs w:val="26"/>
        </w:rPr>
        <w:t xml:space="preserve">Demand Reduction Figures for Time-of-use and </w:t>
      </w:r>
      <w:r w:rsidR="0057399C" w:rsidRPr="00EB3F80">
        <w:rPr>
          <w:b/>
          <w:sz w:val="26"/>
          <w:szCs w:val="26"/>
        </w:rPr>
        <w:t>Real-time Price Plans</w:t>
      </w:r>
      <w:r w:rsidR="007745CB" w:rsidRPr="00EB3F80">
        <w:rPr>
          <w:b/>
          <w:sz w:val="26"/>
          <w:szCs w:val="26"/>
        </w:rPr>
        <w:t xml:space="preserve"> </w:t>
      </w:r>
    </w:p>
    <w:p w:rsidR="00A4056B" w:rsidRDefault="00A4056B" w:rsidP="00A4056B">
      <w:pPr>
        <w:pStyle w:val="p3"/>
        <w:tabs>
          <w:tab w:val="clear" w:pos="204"/>
        </w:tabs>
        <w:spacing w:line="360" w:lineRule="auto"/>
        <w:ind w:firstLine="720"/>
        <w:rPr>
          <w:sz w:val="26"/>
          <w:szCs w:val="26"/>
        </w:rPr>
      </w:pPr>
    </w:p>
    <w:p w:rsidR="00A4056B" w:rsidRPr="00553887" w:rsidRDefault="00A4056B" w:rsidP="00A4056B">
      <w:pPr>
        <w:pStyle w:val="p3"/>
        <w:tabs>
          <w:tab w:val="clear" w:pos="204"/>
        </w:tabs>
        <w:spacing w:line="360" w:lineRule="auto"/>
        <w:ind w:firstLine="720"/>
        <w:rPr>
          <w:sz w:val="26"/>
          <w:szCs w:val="26"/>
        </w:rPr>
      </w:pPr>
      <w:r>
        <w:rPr>
          <w:sz w:val="26"/>
          <w:szCs w:val="26"/>
        </w:rPr>
        <w:t>The TRM sets forth measures that include algorithms for calculating</w:t>
      </w:r>
      <w:r w:rsidRPr="00F55178">
        <w:rPr>
          <w:sz w:val="26"/>
          <w:szCs w:val="26"/>
        </w:rPr>
        <w:t xml:space="preserve"> </w:t>
      </w:r>
      <w:r>
        <w:rPr>
          <w:sz w:val="26"/>
          <w:szCs w:val="26"/>
        </w:rPr>
        <w:t>energy savings</w:t>
      </w:r>
      <w:r w:rsidRPr="00F55178">
        <w:rPr>
          <w:sz w:val="26"/>
          <w:szCs w:val="26"/>
        </w:rPr>
        <w:t xml:space="preserve"> </w:t>
      </w:r>
      <w:r>
        <w:rPr>
          <w:sz w:val="26"/>
          <w:szCs w:val="26"/>
        </w:rPr>
        <w:t xml:space="preserve">and demand savings from implementation of the measure.  Inclusion of demand savings into the TRM enables the EDCs to claim </w:t>
      </w:r>
      <w:r w:rsidR="009E5A0D">
        <w:rPr>
          <w:sz w:val="26"/>
          <w:szCs w:val="26"/>
        </w:rPr>
        <w:t>these</w:t>
      </w:r>
      <w:r>
        <w:rPr>
          <w:sz w:val="26"/>
          <w:szCs w:val="26"/>
        </w:rPr>
        <w:t xml:space="preserve"> savings </w:t>
      </w:r>
      <w:r w:rsidR="009E5A0D">
        <w:rPr>
          <w:sz w:val="26"/>
          <w:szCs w:val="26"/>
        </w:rPr>
        <w:t xml:space="preserve">toward their </w:t>
      </w:r>
      <w:r w:rsidR="008A66C7">
        <w:rPr>
          <w:sz w:val="26"/>
          <w:szCs w:val="26"/>
        </w:rPr>
        <w:t>peak</w:t>
      </w:r>
      <w:r w:rsidR="009E5A0D">
        <w:rPr>
          <w:sz w:val="26"/>
          <w:szCs w:val="26"/>
        </w:rPr>
        <w:t xml:space="preserve"> </w:t>
      </w:r>
      <w:r w:rsidR="008A66C7">
        <w:rPr>
          <w:sz w:val="26"/>
          <w:szCs w:val="26"/>
        </w:rPr>
        <w:t>d</w:t>
      </w:r>
      <w:r w:rsidR="009E5A0D">
        <w:rPr>
          <w:sz w:val="26"/>
          <w:szCs w:val="26"/>
        </w:rPr>
        <w:t xml:space="preserve">emand </w:t>
      </w:r>
      <w:r w:rsidR="008A66C7">
        <w:rPr>
          <w:sz w:val="26"/>
          <w:szCs w:val="26"/>
        </w:rPr>
        <w:t>reduction</w:t>
      </w:r>
      <w:r w:rsidR="009E5A0D">
        <w:rPr>
          <w:sz w:val="26"/>
          <w:szCs w:val="26"/>
        </w:rPr>
        <w:t xml:space="preserve"> goals</w:t>
      </w:r>
      <w:r>
        <w:rPr>
          <w:sz w:val="26"/>
          <w:szCs w:val="26"/>
        </w:rPr>
        <w:t xml:space="preserve">.  </w:t>
      </w:r>
    </w:p>
    <w:p w:rsidR="00A4056B" w:rsidRPr="00553887" w:rsidRDefault="00A4056B" w:rsidP="00A4056B">
      <w:pPr>
        <w:pStyle w:val="p3"/>
        <w:tabs>
          <w:tab w:val="clear" w:pos="204"/>
        </w:tabs>
        <w:spacing w:line="360" w:lineRule="auto"/>
        <w:rPr>
          <w:sz w:val="26"/>
          <w:szCs w:val="26"/>
        </w:rPr>
      </w:pPr>
    </w:p>
    <w:p w:rsidR="00A4056B" w:rsidRPr="00553887" w:rsidRDefault="00A4056B" w:rsidP="0052550D">
      <w:pPr>
        <w:pStyle w:val="p3"/>
        <w:numPr>
          <w:ilvl w:val="0"/>
          <w:numId w:val="22"/>
        </w:numPr>
        <w:tabs>
          <w:tab w:val="clear" w:pos="204"/>
        </w:tabs>
        <w:spacing w:line="360" w:lineRule="auto"/>
        <w:ind w:left="1440" w:hanging="720"/>
        <w:rPr>
          <w:b/>
          <w:sz w:val="26"/>
          <w:szCs w:val="26"/>
        </w:rPr>
      </w:pPr>
      <w:r w:rsidRPr="00553887">
        <w:rPr>
          <w:b/>
          <w:sz w:val="26"/>
          <w:szCs w:val="26"/>
        </w:rPr>
        <w:t>Comments</w:t>
      </w:r>
    </w:p>
    <w:p w:rsidR="00A4056B" w:rsidRPr="00553887" w:rsidRDefault="00A4056B" w:rsidP="00A4056B">
      <w:pPr>
        <w:pStyle w:val="p3"/>
        <w:tabs>
          <w:tab w:val="clear" w:pos="204"/>
        </w:tabs>
        <w:spacing w:line="360" w:lineRule="auto"/>
        <w:rPr>
          <w:sz w:val="26"/>
          <w:szCs w:val="26"/>
        </w:rPr>
      </w:pPr>
    </w:p>
    <w:p w:rsidR="00A4056B" w:rsidRDefault="00A4056B" w:rsidP="00A4056B">
      <w:pPr>
        <w:pStyle w:val="p3"/>
        <w:tabs>
          <w:tab w:val="clear" w:pos="204"/>
        </w:tabs>
        <w:spacing w:line="360" w:lineRule="auto"/>
        <w:ind w:firstLine="720"/>
        <w:rPr>
          <w:sz w:val="26"/>
          <w:szCs w:val="26"/>
        </w:rPr>
      </w:pPr>
      <w:r>
        <w:rPr>
          <w:sz w:val="26"/>
          <w:szCs w:val="26"/>
        </w:rPr>
        <w:t xml:space="preserve">Citizen commented that the unit peak demand reduction for some measures will be less than estimated by the TRM for customers under time-of-use rates (“TOU”) or </w:t>
      </w:r>
      <w:proofErr w:type="spellStart"/>
      <w:r>
        <w:rPr>
          <w:sz w:val="26"/>
          <w:szCs w:val="26"/>
        </w:rPr>
        <w:t>real</w:t>
      </w:r>
      <w:r w:rsidR="005F2F94">
        <w:rPr>
          <w:sz w:val="26"/>
          <w:szCs w:val="26"/>
        </w:rPr>
        <w:noBreakHyphen/>
      </w:r>
      <w:r>
        <w:rPr>
          <w:sz w:val="26"/>
          <w:szCs w:val="26"/>
        </w:rPr>
        <w:t>time</w:t>
      </w:r>
      <w:proofErr w:type="spellEnd"/>
      <w:r>
        <w:rPr>
          <w:sz w:val="26"/>
          <w:szCs w:val="26"/>
        </w:rPr>
        <w:t xml:space="preserve"> price plans.  Citizen postulated that TOU customers will have a lower demand </w:t>
      </w:r>
      <w:r w:rsidR="00FD54A3">
        <w:rPr>
          <w:sz w:val="26"/>
          <w:szCs w:val="26"/>
        </w:rPr>
        <w:t>CF</w:t>
      </w:r>
      <w:r>
        <w:rPr>
          <w:sz w:val="26"/>
          <w:szCs w:val="26"/>
        </w:rPr>
        <w:t xml:space="preserve"> for some measures because they will be influenced by TOU to shift load to off-peak periods.  Citizen recommended that the </w:t>
      </w:r>
      <w:r w:rsidR="00FD54A3">
        <w:rPr>
          <w:sz w:val="26"/>
          <w:szCs w:val="26"/>
        </w:rPr>
        <w:t>CF</w:t>
      </w:r>
      <w:r>
        <w:rPr>
          <w:sz w:val="26"/>
          <w:szCs w:val="26"/>
        </w:rPr>
        <w:t xml:space="preserve"> be adjusted for measures </w:t>
      </w:r>
      <w:r w:rsidR="00203C37">
        <w:rPr>
          <w:sz w:val="26"/>
          <w:szCs w:val="26"/>
        </w:rPr>
        <w:t>where</w:t>
      </w:r>
      <w:r>
        <w:rPr>
          <w:sz w:val="26"/>
          <w:szCs w:val="26"/>
        </w:rPr>
        <w:t xml:space="preserve"> TOU customers are able to shift to non-peak hours in order to account for </w:t>
      </w:r>
      <w:r w:rsidR="00203C37">
        <w:rPr>
          <w:sz w:val="26"/>
          <w:szCs w:val="26"/>
        </w:rPr>
        <w:t>alleged load shifting behavior</w:t>
      </w:r>
      <w:r>
        <w:rPr>
          <w:sz w:val="26"/>
          <w:szCs w:val="26"/>
        </w:rPr>
        <w:t xml:space="preserve">. </w:t>
      </w:r>
      <w:r w:rsidR="005F2F94">
        <w:rPr>
          <w:sz w:val="26"/>
          <w:szCs w:val="26"/>
        </w:rPr>
        <w:t xml:space="preserve"> </w:t>
      </w:r>
      <w:proofErr w:type="gramStart"/>
      <w:r>
        <w:rPr>
          <w:sz w:val="26"/>
          <w:szCs w:val="26"/>
        </w:rPr>
        <w:t xml:space="preserve">(Citizen </w:t>
      </w:r>
      <w:r w:rsidR="005F2F94">
        <w:rPr>
          <w:sz w:val="26"/>
          <w:szCs w:val="26"/>
        </w:rPr>
        <w:t>C</w:t>
      </w:r>
      <w:r>
        <w:rPr>
          <w:sz w:val="26"/>
          <w:szCs w:val="26"/>
        </w:rPr>
        <w:t>omments at 2</w:t>
      </w:r>
      <w:r w:rsidR="005F2F94">
        <w:rPr>
          <w:sz w:val="26"/>
          <w:szCs w:val="26"/>
        </w:rPr>
        <w:t xml:space="preserve"> and </w:t>
      </w:r>
      <w:r>
        <w:rPr>
          <w:sz w:val="26"/>
          <w:szCs w:val="26"/>
        </w:rPr>
        <w:t>3</w:t>
      </w:r>
      <w:r w:rsidR="005F2F94">
        <w:rPr>
          <w:sz w:val="26"/>
          <w:szCs w:val="26"/>
        </w:rPr>
        <w:t>.</w:t>
      </w:r>
      <w:r>
        <w:rPr>
          <w:sz w:val="26"/>
          <w:szCs w:val="26"/>
        </w:rPr>
        <w:t>)</w:t>
      </w:r>
      <w:proofErr w:type="gramEnd"/>
    </w:p>
    <w:p w:rsidR="00A4056B" w:rsidRDefault="00A4056B" w:rsidP="00A4056B">
      <w:pPr>
        <w:pStyle w:val="p3"/>
        <w:tabs>
          <w:tab w:val="clear" w:pos="204"/>
        </w:tabs>
        <w:spacing w:line="360" w:lineRule="auto"/>
        <w:ind w:firstLine="720"/>
        <w:rPr>
          <w:sz w:val="26"/>
          <w:szCs w:val="26"/>
        </w:rPr>
      </w:pPr>
    </w:p>
    <w:p w:rsidR="00D66700" w:rsidRDefault="00D66700" w:rsidP="00A4056B">
      <w:pPr>
        <w:pStyle w:val="p3"/>
        <w:tabs>
          <w:tab w:val="clear" w:pos="204"/>
        </w:tabs>
        <w:spacing w:line="360" w:lineRule="auto"/>
        <w:ind w:firstLine="720"/>
        <w:rPr>
          <w:sz w:val="26"/>
          <w:szCs w:val="26"/>
        </w:rPr>
      </w:pPr>
    </w:p>
    <w:p w:rsidR="00A4056B" w:rsidRDefault="00A4056B" w:rsidP="00A4056B">
      <w:pPr>
        <w:pStyle w:val="p3"/>
        <w:tabs>
          <w:tab w:val="clear" w:pos="204"/>
        </w:tabs>
        <w:spacing w:line="360" w:lineRule="auto"/>
        <w:ind w:firstLine="720"/>
        <w:rPr>
          <w:sz w:val="26"/>
          <w:szCs w:val="26"/>
        </w:rPr>
      </w:pPr>
      <w:r>
        <w:rPr>
          <w:sz w:val="26"/>
          <w:szCs w:val="26"/>
        </w:rPr>
        <w:lastRenderedPageBreak/>
        <w:t>Duquesne noted that the proposed 2011 TRM exclude</w:t>
      </w:r>
      <w:r w:rsidR="005F2F94">
        <w:rPr>
          <w:sz w:val="26"/>
          <w:szCs w:val="26"/>
        </w:rPr>
        <w:t>d</w:t>
      </w:r>
      <w:r>
        <w:rPr>
          <w:sz w:val="26"/>
          <w:szCs w:val="26"/>
        </w:rPr>
        <w:t xml:space="preserve"> demand response programs that were included in the 2010 TRM.  The 2010 TRM included residential demand response values for air conditioner cycling and Duquesne stated that its residential demand response program is geared towards the 2010 TRM air conditioner cycling values.  Duquesne stated </w:t>
      </w:r>
      <w:r w:rsidR="005F2F94">
        <w:rPr>
          <w:sz w:val="26"/>
          <w:szCs w:val="26"/>
        </w:rPr>
        <w:t xml:space="preserve">that </w:t>
      </w:r>
      <w:r>
        <w:rPr>
          <w:sz w:val="26"/>
          <w:szCs w:val="26"/>
        </w:rPr>
        <w:t xml:space="preserve">there is no reason not to count the demand reduction from air conditioning programs and recommended that the load reduction value per unit air conditioner found in the 2010 TRM be retained. </w:t>
      </w:r>
      <w:r w:rsidR="005F2F94">
        <w:rPr>
          <w:sz w:val="26"/>
          <w:szCs w:val="26"/>
        </w:rPr>
        <w:t xml:space="preserve"> </w:t>
      </w:r>
      <w:proofErr w:type="gramStart"/>
      <w:r>
        <w:rPr>
          <w:sz w:val="26"/>
          <w:szCs w:val="26"/>
        </w:rPr>
        <w:t xml:space="preserve">(Duquesne </w:t>
      </w:r>
      <w:r w:rsidR="005F2F94">
        <w:rPr>
          <w:sz w:val="26"/>
          <w:szCs w:val="26"/>
        </w:rPr>
        <w:t>C</w:t>
      </w:r>
      <w:r>
        <w:rPr>
          <w:sz w:val="26"/>
          <w:szCs w:val="26"/>
        </w:rPr>
        <w:t>omments at 8</w:t>
      </w:r>
      <w:r w:rsidR="005F2F94">
        <w:rPr>
          <w:sz w:val="26"/>
          <w:szCs w:val="26"/>
        </w:rPr>
        <w:t>.</w:t>
      </w:r>
      <w:r>
        <w:rPr>
          <w:sz w:val="26"/>
          <w:szCs w:val="26"/>
        </w:rPr>
        <w:t>)</w:t>
      </w:r>
      <w:proofErr w:type="gramEnd"/>
      <w:r>
        <w:rPr>
          <w:sz w:val="26"/>
          <w:szCs w:val="26"/>
        </w:rPr>
        <w:t xml:space="preserve"> </w:t>
      </w:r>
    </w:p>
    <w:p w:rsidR="00A4056B" w:rsidRPr="00553887" w:rsidRDefault="00A4056B" w:rsidP="00A4056B">
      <w:pPr>
        <w:pStyle w:val="p3"/>
        <w:tabs>
          <w:tab w:val="clear" w:pos="204"/>
        </w:tabs>
        <w:spacing w:line="360" w:lineRule="auto"/>
        <w:ind w:firstLine="720"/>
        <w:rPr>
          <w:sz w:val="26"/>
          <w:szCs w:val="26"/>
        </w:rPr>
      </w:pPr>
    </w:p>
    <w:p w:rsidR="00A4056B" w:rsidRPr="00553887" w:rsidRDefault="00A4056B" w:rsidP="0052550D">
      <w:pPr>
        <w:pStyle w:val="p3"/>
        <w:numPr>
          <w:ilvl w:val="0"/>
          <w:numId w:val="22"/>
        </w:numPr>
        <w:tabs>
          <w:tab w:val="clear" w:pos="204"/>
        </w:tabs>
        <w:spacing w:line="360" w:lineRule="auto"/>
        <w:ind w:left="1440" w:hanging="720"/>
        <w:rPr>
          <w:b/>
          <w:sz w:val="26"/>
          <w:szCs w:val="26"/>
        </w:rPr>
      </w:pPr>
      <w:r w:rsidRPr="00553887">
        <w:rPr>
          <w:b/>
          <w:sz w:val="26"/>
          <w:szCs w:val="26"/>
        </w:rPr>
        <w:t>Disposition</w:t>
      </w:r>
    </w:p>
    <w:p w:rsidR="00A4056B" w:rsidRPr="00553887" w:rsidRDefault="00A4056B" w:rsidP="00A4056B">
      <w:pPr>
        <w:pStyle w:val="p3"/>
        <w:tabs>
          <w:tab w:val="clear" w:pos="204"/>
        </w:tabs>
        <w:spacing w:line="360" w:lineRule="auto"/>
        <w:rPr>
          <w:b/>
          <w:sz w:val="26"/>
          <w:szCs w:val="26"/>
        </w:rPr>
      </w:pPr>
    </w:p>
    <w:p w:rsidR="00A4056B" w:rsidRDefault="00A4056B" w:rsidP="00A4056B">
      <w:pPr>
        <w:spacing w:line="360" w:lineRule="auto"/>
        <w:ind w:firstLine="720"/>
        <w:rPr>
          <w:sz w:val="26"/>
          <w:szCs w:val="26"/>
        </w:rPr>
      </w:pPr>
      <w:r>
        <w:rPr>
          <w:sz w:val="26"/>
          <w:szCs w:val="26"/>
        </w:rPr>
        <w:t xml:space="preserve">The Commission rejects </w:t>
      </w:r>
      <w:r w:rsidR="000C6A7D">
        <w:rPr>
          <w:sz w:val="26"/>
          <w:szCs w:val="26"/>
        </w:rPr>
        <w:t>Citizen’s</w:t>
      </w:r>
      <w:r>
        <w:rPr>
          <w:sz w:val="26"/>
          <w:szCs w:val="26"/>
        </w:rPr>
        <w:t xml:space="preserve"> recommendation to adjust the </w:t>
      </w:r>
      <w:r w:rsidR="00FD54A3">
        <w:rPr>
          <w:sz w:val="26"/>
          <w:szCs w:val="26"/>
        </w:rPr>
        <w:t>CF</w:t>
      </w:r>
      <w:r>
        <w:rPr>
          <w:sz w:val="26"/>
          <w:szCs w:val="26"/>
        </w:rPr>
        <w:t xml:space="preserve"> of measures that include customers under TOU or real-time price plans.  Citizen did not provide evidence to support their claim of load shifting by TOU customers</w:t>
      </w:r>
      <w:r w:rsidR="00E178DD">
        <w:rPr>
          <w:sz w:val="26"/>
          <w:szCs w:val="26"/>
        </w:rPr>
        <w:t>,</w:t>
      </w:r>
      <w:r>
        <w:rPr>
          <w:sz w:val="26"/>
          <w:szCs w:val="26"/>
        </w:rPr>
        <w:t xml:space="preserve"> nor did they provide documentation quantifying the effects of the alleged load shifting occurring in each EDC territory.  For </w:t>
      </w:r>
      <w:r w:rsidR="00C52D14">
        <w:rPr>
          <w:sz w:val="26"/>
          <w:szCs w:val="26"/>
        </w:rPr>
        <w:t xml:space="preserve">Citizen’s </w:t>
      </w:r>
      <w:r>
        <w:rPr>
          <w:sz w:val="26"/>
          <w:szCs w:val="26"/>
        </w:rPr>
        <w:t>propos</w:t>
      </w:r>
      <w:r w:rsidR="00C52D14">
        <w:rPr>
          <w:sz w:val="26"/>
          <w:szCs w:val="26"/>
        </w:rPr>
        <w:t>al</w:t>
      </w:r>
      <w:r>
        <w:rPr>
          <w:sz w:val="26"/>
          <w:szCs w:val="26"/>
        </w:rPr>
        <w:t xml:space="preserve"> to be considered further, supporting evidence with a confidence level of 90%, indicating that the load shifting occurs on a regular basis</w:t>
      </w:r>
      <w:r w:rsidR="00FB06EC">
        <w:rPr>
          <w:sz w:val="26"/>
          <w:szCs w:val="26"/>
        </w:rPr>
        <w:t>,</w:t>
      </w:r>
      <w:r>
        <w:rPr>
          <w:sz w:val="26"/>
          <w:szCs w:val="26"/>
        </w:rPr>
        <w:t xml:space="preserve"> </w:t>
      </w:r>
      <w:r w:rsidR="00C52D14">
        <w:rPr>
          <w:sz w:val="26"/>
          <w:szCs w:val="26"/>
        </w:rPr>
        <w:t>must</w:t>
      </w:r>
      <w:r>
        <w:rPr>
          <w:sz w:val="26"/>
          <w:szCs w:val="26"/>
        </w:rPr>
        <w:t xml:space="preserve"> be provided.      </w:t>
      </w:r>
      <w:r w:rsidRPr="00553887">
        <w:rPr>
          <w:sz w:val="26"/>
          <w:szCs w:val="26"/>
        </w:rPr>
        <w:t xml:space="preserve">  </w:t>
      </w:r>
    </w:p>
    <w:p w:rsidR="00A4056B" w:rsidRDefault="00A4056B" w:rsidP="00A4056B">
      <w:pPr>
        <w:spacing w:line="360" w:lineRule="auto"/>
        <w:ind w:firstLine="720"/>
        <w:rPr>
          <w:sz w:val="26"/>
          <w:szCs w:val="26"/>
        </w:rPr>
      </w:pPr>
    </w:p>
    <w:p w:rsidR="00A4056B" w:rsidRDefault="00A4056B" w:rsidP="00A4056B">
      <w:pPr>
        <w:spacing w:line="360" w:lineRule="auto"/>
        <w:ind w:firstLine="720"/>
        <w:rPr>
          <w:sz w:val="26"/>
          <w:szCs w:val="26"/>
        </w:rPr>
      </w:pPr>
      <w:r>
        <w:rPr>
          <w:sz w:val="26"/>
          <w:szCs w:val="26"/>
        </w:rPr>
        <w:t>The Commission rejects Duquesne</w:t>
      </w:r>
      <w:r w:rsidR="00FB06EC">
        <w:rPr>
          <w:sz w:val="26"/>
          <w:szCs w:val="26"/>
        </w:rPr>
        <w:t>’s</w:t>
      </w:r>
      <w:r>
        <w:rPr>
          <w:sz w:val="26"/>
          <w:szCs w:val="26"/>
        </w:rPr>
        <w:t xml:space="preserve"> recommendation for retaining demand response programs in the 2011 TRM.  The Commission</w:t>
      </w:r>
      <w:r w:rsidR="008A6AC1">
        <w:rPr>
          <w:sz w:val="26"/>
          <w:szCs w:val="26"/>
        </w:rPr>
        <w:t>’</w:t>
      </w:r>
      <w:r>
        <w:rPr>
          <w:sz w:val="26"/>
          <w:szCs w:val="26"/>
        </w:rPr>
        <w:t>s Secretarial Letter dated January 12, 2011</w:t>
      </w:r>
      <w:r w:rsidR="00FB06EC">
        <w:rPr>
          <w:sz w:val="26"/>
          <w:szCs w:val="26"/>
        </w:rPr>
        <w:t>,</w:t>
      </w:r>
      <w:r>
        <w:rPr>
          <w:sz w:val="26"/>
          <w:szCs w:val="26"/>
        </w:rPr>
        <w:t xml:space="preserve"> clar</w:t>
      </w:r>
      <w:r w:rsidR="00FB06EC">
        <w:rPr>
          <w:sz w:val="26"/>
          <w:szCs w:val="26"/>
        </w:rPr>
        <w:t>if</w:t>
      </w:r>
      <w:r>
        <w:rPr>
          <w:sz w:val="26"/>
          <w:szCs w:val="26"/>
        </w:rPr>
        <w:t>ies that PJM measurement and verification protocols in effect for June 2012 through May 2013 will be used for the basis of measurement and verification for Act 12</w:t>
      </w:r>
      <w:r w:rsidR="00FB06EC">
        <w:rPr>
          <w:sz w:val="26"/>
          <w:szCs w:val="26"/>
        </w:rPr>
        <w:t>9 load curtailment performance.</w:t>
      </w:r>
      <w:r w:rsidR="00FB06EC">
        <w:rPr>
          <w:rStyle w:val="FootnoteReference"/>
          <w:sz w:val="26"/>
          <w:szCs w:val="26"/>
        </w:rPr>
        <w:footnoteReference w:id="25"/>
      </w:r>
      <w:r w:rsidR="00FB06EC">
        <w:rPr>
          <w:sz w:val="26"/>
          <w:szCs w:val="26"/>
        </w:rPr>
        <w:t xml:space="preserve">  </w:t>
      </w:r>
      <w:r>
        <w:rPr>
          <w:sz w:val="26"/>
          <w:szCs w:val="26"/>
        </w:rPr>
        <w:t>The letter further specifies that the direct load control protocols found in PJM Manual 19, Attachment B, in effect for planning year 2012-2013 and appropriately applied can be used to value Act 129 direct load control.</w:t>
      </w:r>
      <w:r w:rsidR="00D66700">
        <w:rPr>
          <w:sz w:val="26"/>
          <w:szCs w:val="26"/>
        </w:rPr>
        <w:t xml:space="preserve">  </w:t>
      </w:r>
      <w:r>
        <w:rPr>
          <w:sz w:val="26"/>
          <w:szCs w:val="26"/>
        </w:rPr>
        <w:lastRenderedPageBreak/>
        <w:t>Demand response programs that differ from PJM protocols are more appropriately addressed by use of the custom measure protocol process.</w:t>
      </w:r>
      <w:r w:rsidR="00FB06EC">
        <w:rPr>
          <w:rStyle w:val="FootnoteReference"/>
          <w:sz w:val="26"/>
          <w:szCs w:val="26"/>
        </w:rPr>
        <w:footnoteReference w:id="26"/>
      </w:r>
    </w:p>
    <w:p w:rsidR="00C52D14" w:rsidRPr="00553887" w:rsidRDefault="00C52D14" w:rsidP="00A4056B">
      <w:pPr>
        <w:spacing w:line="360" w:lineRule="auto"/>
        <w:ind w:firstLine="720"/>
        <w:rPr>
          <w:sz w:val="26"/>
          <w:szCs w:val="26"/>
        </w:rPr>
      </w:pPr>
    </w:p>
    <w:p w:rsidR="006B5753" w:rsidRPr="00EB3F80" w:rsidRDefault="00DE5428" w:rsidP="006B5753">
      <w:pPr>
        <w:spacing w:line="360" w:lineRule="auto"/>
        <w:rPr>
          <w:b/>
          <w:sz w:val="26"/>
          <w:szCs w:val="26"/>
        </w:rPr>
      </w:pPr>
      <w:r w:rsidRPr="00EB3F80">
        <w:rPr>
          <w:b/>
          <w:sz w:val="26"/>
          <w:szCs w:val="26"/>
        </w:rPr>
        <w:t>F</w:t>
      </w:r>
      <w:r w:rsidR="009A6B36">
        <w:rPr>
          <w:b/>
          <w:sz w:val="26"/>
          <w:szCs w:val="26"/>
        </w:rPr>
        <w:t>.</w:t>
      </w:r>
      <w:r w:rsidR="00B94CEC">
        <w:rPr>
          <w:b/>
          <w:sz w:val="26"/>
          <w:szCs w:val="26"/>
        </w:rPr>
        <w:tab/>
      </w:r>
      <w:r w:rsidR="001879C3" w:rsidRPr="00EB3F80">
        <w:rPr>
          <w:b/>
          <w:sz w:val="26"/>
          <w:szCs w:val="26"/>
        </w:rPr>
        <w:t xml:space="preserve">CFL Hours of Operation </w:t>
      </w:r>
      <w:r w:rsidR="00FD54A3" w:rsidRPr="00EB3F80">
        <w:rPr>
          <w:b/>
          <w:sz w:val="26"/>
          <w:szCs w:val="26"/>
        </w:rPr>
        <w:t>per</w:t>
      </w:r>
      <w:r w:rsidR="001879C3" w:rsidRPr="00EB3F80">
        <w:rPr>
          <w:b/>
          <w:sz w:val="26"/>
          <w:szCs w:val="26"/>
        </w:rPr>
        <w:t xml:space="preserve"> Day</w:t>
      </w:r>
    </w:p>
    <w:p w:rsidR="006B5753" w:rsidRPr="00EB3F80" w:rsidRDefault="006B5753" w:rsidP="006B5753">
      <w:pPr>
        <w:spacing w:line="360" w:lineRule="auto"/>
        <w:rPr>
          <w:sz w:val="26"/>
          <w:szCs w:val="26"/>
        </w:rPr>
      </w:pPr>
    </w:p>
    <w:p w:rsidR="002F1A53" w:rsidRPr="00EB3F80" w:rsidRDefault="002F1A53" w:rsidP="00890FA6">
      <w:pPr>
        <w:spacing w:line="360" w:lineRule="auto"/>
        <w:ind w:firstLine="720"/>
        <w:rPr>
          <w:sz w:val="26"/>
          <w:szCs w:val="26"/>
        </w:rPr>
      </w:pPr>
      <w:r w:rsidRPr="00EB3F80">
        <w:rPr>
          <w:sz w:val="26"/>
          <w:szCs w:val="26"/>
        </w:rPr>
        <w:t xml:space="preserve">The Proposed </w:t>
      </w:r>
      <w:r w:rsidR="00536CCA">
        <w:rPr>
          <w:sz w:val="26"/>
          <w:szCs w:val="26"/>
        </w:rPr>
        <w:t xml:space="preserve">2011 </w:t>
      </w:r>
      <w:r w:rsidRPr="00EB3F80">
        <w:rPr>
          <w:sz w:val="26"/>
          <w:szCs w:val="26"/>
        </w:rPr>
        <w:t>TRM revised the CFL hours of operation per day value</w:t>
      </w:r>
      <w:r w:rsidR="00BB7CBB" w:rsidRPr="00EB3F80">
        <w:rPr>
          <w:sz w:val="26"/>
          <w:szCs w:val="26"/>
        </w:rPr>
        <w:t xml:space="preserve"> (“HOU”)</w:t>
      </w:r>
      <w:r w:rsidRPr="00EB3F80">
        <w:rPr>
          <w:sz w:val="26"/>
          <w:szCs w:val="26"/>
        </w:rPr>
        <w:t xml:space="preserve"> from 3.0 hours to 1.9 hours based on a KEMA study.  The KEMA study entitled </w:t>
      </w:r>
      <w:r w:rsidRPr="009A6B36">
        <w:rPr>
          <w:i/>
          <w:sz w:val="26"/>
          <w:szCs w:val="26"/>
        </w:rPr>
        <w:t>Results from California’s Resi</w:t>
      </w:r>
      <w:r w:rsidR="009A6B36" w:rsidRPr="009A6B36">
        <w:rPr>
          <w:i/>
          <w:sz w:val="26"/>
          <w:szCs w:val="26"/>
        </w:rPr>
        <w:t>dential Lighting Metering Study</w:t>
      </w:r>
      <w:r w:rsidRPr="00EB3F80">
        <w:rPr>
          <w:sz w:val="26"/>
          <w:szCs w:val="26"/>
        </w:rPr>
        <w:t xml:space="preserve"> was based on a large scale comprehensive residential lighting metering study of 1,200 randomly selected households completed in 2010.</w:t>
      </w:r>
    </w:p>
    <w:p w:rsidR="002F1A53" w:rsidRPr="00EB3F80" w:rsidRDefault="002F1A53" w:rsidP="002F1A53">
      <w:pPr>
        <w:spacing w:line="360" w:lineRule="auto"/>
        <w:ind w:firstLine="720"/>
        <w:jc w:val="both"/>
        <w:rPr>
          <w:sz w:val="26"/>
          <w:szCs w:val="26"/>
        </w:rPr>
      </w:pPr>
    </w:p>
    <w:p w:rsidR="002F1A53" w:rsidRPr="009A6B36" w:rsidRDefault="002F1A53" w:rsidP="0052550D">
      <w:pPr>
        <w:pStyle w:val="ListParagraph"/>
        <w:numPr>
          <w:ilvl w:val="0"/>
          <w:numId w:val="23"/>
        </w:numPr>
        <w:spacing w:line="360" w:lineRule="auto"/>
        <w:ind w:left="1440" w:hanging="720"/>
        <w:jc w:val="both"/>
        <w:rPr>
          <w:b/>
          <w:sz w:val="26"/>
          <w:szCs w:val="26"/>
        </w:rPr>
      </w:pPr>
      <w:r w:rsidRPr="009A6B36">
        <w:rPr>
          <w:b/>
          <w:sz w:val="26"/>
          <w:szCs w:val="26"/>
        </w:rPr>
        <w:t>Comments</w:t>
      </w:r>
    </w:p>
    <w:p w:rsidR="002F1A53" w:rsidRPr="00EB3F80" w:rsidRDefault="002F1A53" w:rsidP="002F1A53">
      <w:pPr>
        <w:spacing w:line="360" w:lineRule="auto"/>
        <w:ind w:firstLine="720"/>
        <w:jc w:val="both"/>
        <w:rPr>
          <w:sz w:val="26"/>
          <w:szCs w:val="26"/>
        </w:rPr>
      </w:pPr>
    </w:p>
    <w:p w:rsidR="002F1A53" w:rsidRPr="00EB3F80" w:rsidRDefault="002F1A53" w:rsidP="00890FA6">
      <w:pPr>
        <w:spacing w:line="360" w:lineRule="auto"/>
        <w:rPr>
          <w:sz w:val="26"/>
          <w:szCs w:val="26"/>
        </w:rPr>
      </w:pPr>
      <w:r w:rsidRPr="00EB3F80">
        <w:rPr>
          <w:sz w:val="26"/>
          <w:szCs w:val="26"/>
        </w:rPr>
        <w:tab/>
      </w:r>
      <w:r w:rsidR="00BB7CBB" w:rsidRPr="00EB3F80">
        <w:rPr>
          <w:sz w:val="26"/>
          <w:szCs w:val="26"/>
        </w:rPr>
        <w:t xml:space="preserve">Most of the </w:t>
      </w:r>
      <w:r w:rsidR="00495F24">
        <w:rPr>
          <w:sz w:val="26"/>
          <w:szCs w:val="26"/>
        </w:rPr>
        <w:t>Commenters</w:t>
      </w:r>
      <w:r w:rsidRPr="00EB3F80">
        <w:rPr>
          <w:sz w:val="26"/>
          <w:szCs w:val="26"/>
        </w:rPr>
        <w:t xml:space="preserve"> opposed the proposed change in the </w:t>
      </w:r>
      <w:r w:rsidR="00495F24">
        <w:rPr>
          <w:sz w:val="26"/>
          <w:szCs w:val="26"/>
        </w:rPr>
        <w:t>HOU baseline</w:t>
      </w:r>
      <w:r w:rsidRPr="00EB3F80">
        <w:rPr>
          <w:sz w:val="26"/>
          <w:szCs w:val="26"/>
        </w:rPr>
        <w:t xml:space="preserve"> for CFLs. </w:t>
      </w:r>
      <w:r w:rsidR="009A6B36">
        <w:rPr>
          <w:sz w:val="26"/>
          <w:szCs w:val="26"/>
        </w:rPr>
        <w:t xml:space="preserve"> </w:t>
      </w:r>
      <w:r w:rsidRPr="00EB3F80">
        <w:rPr>
          <w:sz w:val="26"/>
          <w:szCs w:val="26"/>
        </w:rPr>
        <w:t>(</w:t>
      </w:r>
      <w:r w:rsidR="00BB7CBB" w:rsidRPr="00EB3F80">
        <w:rPr>
          <w:sz w:val="26"/>
          <w:szCs w:val="26"/>
        </w:rPr>
        <w:t xml:space="preserve">Allegheny Power </w:t>
      </w:r>
      <w:r w:rsidR="009A6B36">
        <w:rPr>
          <w:sz w:val="26"/>
          <w:szCs w:val="26"/>
        </w:rPr>
        <w:t>C</w:t>
      </w:r>
      <w:r w:rsidR="00BB7CBB" w:rsidRPr="00EB3F80">
        <w:rPr>
          <w:sz w:val="26"/>
          <w:szCs w:val="26"/>
        </w:rPr>
        <w:t xml:space="preserve">omments at </w:t>
      </w:r>
      <w:r w:rsidR="00C03029" w:rsidRPr="00EB3F80">
        <w:rPr>
          <w:sz w:val="26"/>
          <w:szCs w:val="26"/>
        </w:rPr>
        <w:t xml:space="preserve">5, Duquesne </w:t>
      </w:r>
      <w:r w:rsidR="009A6B36">
        <w:rPr>
          <w:sz w:val="26"/>
          <w:szCs w:val="26"/>
        </w:rPr>
        <w:t>C</w:t>
      </w:r>
      <w:r w:rsidR="00C03029" w:rsidRPr="00EB3F80">
        <w:rPr>
          <w:sz w:val="26"/>
          <w:szCs w:val="26"/>
        </w:rPr>
        <w:t xml:space="preserve">omments at 3, </w:t>
      </w:r>
      <w:r w:rsidRPr="00EB3F80">
        <w:rPr>
          <w:sz w:val="26"/>
          <w:szCs w:val="26"/>
        </w:rPr>
        <w:t>EAPA</w:t>
      </w:r>
      <w:r w:rsidR="00C03029" w:rsidRPr="00EB3F80">
        <w:rPr>
          <w:sz w:val="26"/>
          <w:szCs w:val="26"/>
        </w:rPr>
        <w:t xml:space="preserve"> </w:t>
      </w:r>
      <w:r w:rsidR="009A6B36">
        <w:rPr>
          <w:sz w:val="26"/>
          <w:szCs w:val="26"/>
        </w:rPr>
        <w:t>C</w:t>
      </w:r>
      <w:r w:rsidR="00C03029" w:rsidRPr="00EB3F80">
        <w:rPr>
          <w:sz w:val="26"/>
          <w:szCs w:val="26"/>
        </w:rPr>
        <w:t>omments at 9</w:t>
      </w:r>
      <w:r w:rsidRPr="00EB3F80">
        <w:rPr>
          <w:sz w:val="26"/>
          <w:szCs w:val="26"/>
        </w:rPr>
        <w:t>, FirstEnergy</w:t>
      </w:r>
      <w:r w:rsidR="00C03029" w:rsidRPr="00EB3F80">
        <w:rPr>
          <w:sz w:val="26"/>
          <w:szCs w:val="26"/>
        </w:rPr>
        <w:t xml:space="preserve"> </w:t>
      </w:r>
      <w:r w:rsidR="009A6B36">
        <w:rPr>
          <w:sz w:val="26"/>
          <w:szCs w:val="26"/>
        </w:rPr>
        <w:t>C</w:t>
      </w:r>
      <w:r w:rsidR="00C03029" w:rsidRPr="00EB3F80">
        <w:rPr>
          <w:sz w:val="26"/>
          <w:szCs w:val="26"/>
        </w:rPr>
        <w:t>omments at 6</w:t>
      </w:r>
      <w:r w:rsidRPr="00EB3F80">
        <w:rPr>
          <w:sz w:val="26"/>
          <w:szCs w:val="26"/>
        </w:rPr>
        <w:t>, PECO</w:t>
      </w:r>
      <w:r w:rsidR="00C03029" w:rsidRPr="00EB3F80">
        <w:rPr>
          <w:sz w:val="26"/>
          <w:szCs w:val="26"/>
        </w:rPr>
        <w:t xml:space="preserve"> </w:t>
      </w:r>
      <w:r w:rsidR="000F267F">
        <w:rPr>
          <w:sz w:val="26"/>
          <w:szCs w:val="26"/>
        </w:rPr>
        <w:t>C</w:t>
      </w:r>
      <w:r w:rsidR="00C03029" w:rsidRPr="00EB3F80">
        <w:rPr>
          <w:sz w:val="26"/>
          <w:szCs w:val="26"/>
        </w:rPr>
        <w:t>omments at 3</w:t>
      </w:r>
      <w:r w:rsidRPr="00EB3F80">
        <w:rPr>
          <w:sz w:val="26"/>
          <w:szCs w:val="26"/>
        </w:rPr>
        <w:t xml:space="preserve"> </w:t>
      </w:r>
      <w:r w:rsidR="000F267F">
        <w:rPr>
          <w:sz w:val="26"/>
          <w:szCs w:val="26"/>
        </w:rPr>
        <w:t xml:space="preserve">and </w:t>
      </w:r>
      <w:r w:rsidRPr="00EB3F80">
        <w:rPr>
          <w:sz w:val="26"/>
          <w:szCs w:val="26"/>
        </w:rPr>
        <w:t>PPL</w:t>
      </w:r>
      <w:r w:rsidR="00C03029" w:rsidRPr="00EB3F80">
        <w:rPr>
          <w:sz w:val="26"/>
          <w:szCs w:val="26"/>
        </w:rPr>
        <w:t xml:space="preserve"> </w:t>
      </w:r>
      <w:r w:rsidR="000F267F">
        <w:rPr>
          <w:sz w:val="26"/>
          <w:szCs w:val="26"/>
        </w:rPr>
        <w:t>C</w:t>
      </w:r>
      <w:r w:rsidR="00C03029" w:rsidRPr="00EB3F80">
        <w:rPr>
          <w:sz w:val="26"/>
          <w:szCs w:val="26"/>
        </w:rPr>
        <w:t>omments at 12</w:t>
      </w:r>
      <w:r w:rsidR="000F267F">
        <w:rPr>
          <w:sz w:val="26"/>
          <w:szCs w:val="26"/>
        </w:rPr>
        <w:t>.</w:t>
      </w:r>
      <w:r w:rsidRPr="00EB3F80">
        <w:rPr>
          <w:sz w:val="26"/>
          <w:szCs w:val="26"/>
        </w:rPr>
        <w:t xml:space="preserve">)  The opposition to this change was summarized by the EAPA, wherein they objected to the validity of applying the results of the KEMA study to the Pennsylvania marketplace. </w:t>
      </w:r>
      <w:r w:rsidR="000F267F">
        <w:rPr>
          <w:sz w:val="26"/>
          <w:szCs w:val="26"/>
        </w:rPr>
        <w:t xml:space="preserve"> </w:t>
      </w:r>
      <w:r w:rsidRPr="00EB3F80">
        <w:rPr>
          <w:sz w:val="26"/>
          <w:szCs w:val="26"/>
        </w:rPr>
        <w:t xml:space="preserve">The EAPA </w:t>
      </w:r>
      <w:r w:rsidR="00753386">
        <w:rPr>
          <w:sz w:val="26"/>
          <w:szCs w:val="26"/>
        </w:rPr>
        <w:t>stated</w:t>
      </w:r>
      <w:r w:rsidRPr="00EB3F80">
        <w:rPr>
          <w:sz w:val="26"/>
          <w:szCs w:val="26"/>
        </w:rPr>
        <w:t xml:space="preserve"> that the California market has a different market saturation </w:t>
      </w:r>
      <w:r w:rsidR="000F267F">
        <w:rPr>
          <w:sz w:val="26"/>
          <w:szCs w:val="26"/>
        </w:rPr>
        <w:t xml:space="preserve">level </w:t>
      </w:r>
      <w:r w:rsidRPr="00EB3F80">
        <w:rPr>
          <w:sz w:val="26"/>
          <w:szCs w:val="26"/>
        </w:rPr>
        <w:t>f</w:t>
      </w:r>
      <w:r w:rsidR="000F267F">
        <w:rPr>
          <w:sz w:val="26"/>
          <w:szCs w:val="26"/>
        </w:rPr>
        <w:t>or</w:t>
      </w:r>
      <w:r w:rsidRPr="00EB3F80">
        <w:rPr>
          <w:sz w:val="26"/>
          <w:szCs w:val="26"/>
        </w:rPr>
        <w:t xml:space="preserve"> CFLs</w:t>
      </w:r>
      <w:r w:rsidR="009F34FE">
        <w:rPr>
          <w:sz w:val="26"/>
          <w:szCs w:val="26"/>
        </w:rPr>
        <w:t xml:space="preserve">, different geography </w:t>
      </w:r>
      <w:r w:rsidR="000F267F">
        <w:rPr>
          <w:sz w:val="26"/>
          <w:szCs w:val="26"/>
        </w:rPr>
        <w:t>affecting</w:t>
      </w:r>
      <w:r w:rsidR="009F34FE">
        <w:rPr>
          <w:sz w:val="26"/>
          <w:szCs w:val="26"/>
        </w:rPr>
        <w:t xml:space="preserve"> hours of natural light and different electricity pricing, all of which may affect the HOU.  In addition, the EAPA noted that there may be a difference between California and Pennsylvania in customer behavior and environmental consciousness that may affect CFL penetration rates</w:t>
      </w:r>
      <w:r w:rsidR="000F267F">
        <w:rPr>
          <w:sz w:val="26"/>
          <w:szCs w:val="26"/>
        </w:rPr>
        <w:t xml:space="preserve"> in each state</w:t>
      </w:r>
      <w:r w:rsidR="009F34FE">
        <w:rPr>
          <w:sz w:val="26"/>
          <w:szCs w:val="26"/>
        </w:rPr>
        <w:t xml:space="preserve">. </w:t>
      </w:r>
      <w:r w:rsidR="000F267F">
        <w:rPr>
          <w:sz w:val="26"/>
          <w:szCs w:val="26"/>
        </w:rPr>
        <w:t xml:space="preserve"> </w:t>
      </w:r>
      <w:r w:rsidR="009F34FE">
        <w:rPr>
          <w:sz w:val="26"/>
          <w:szCs w:val="26"/>
        </w:rPr>
        <w:t xml:space="preserve">(EAPA </w:t>
      </w:r>
      <w:r w:rsidR="000F267F">
        <w:rPr>
          <w:sz w:val="26"/>
          <w:szCs w:val="26"/>
        </w:rPr>
        <w:t>C</w:t>
      </w:r>
      <w:r w:rsidR="009F34FE">
        <w:rPr>
          <w:sz w:val="26"/>
          <w:szCs w:val="26"/>
        </w:rPr>
        <w:t>omments at 9-11</w:t>
      </w:r>
      <w:r w:rsidR="000F267F">
        <w:rPr>
          <w:sz w:val="26"/>
          <w:szCs w:val="26"/>
        </w:rPr>
        <w:t>.</w:t>
      </w:r>
      <w:r w:rsidR="009F34FE">
        <w:rPr>
          <w:sz w:val="26"/>
          <w:szCs w:val="26"/>
        </w:rPr>
        <w:t xml:space="preserve">)  </w:t>
      </w:r>
    </w:p>
    <w:p w:rsidR="002F1A53" w:rsidRPr="00EB3F80" w:rsidRDefault="002F1A53" w:rsidP="00890FA6">
      <w:pPr>
        <w:spacing w:line="360" w:lineRule="auto"/>
        <w:rPr>
          <w:sz w:val="26"/>
          <w:szCs w:val="26"/>
        </w:rPr>
      </w:pPr>
    </w:p>
    <w:p w:rsidR="002F1A53" w:rsidRPr="00EB3F80" w:rsidRDefault="009F34FE" w:rsidP="00890FA6">
      <w:pPr>
        <w:spacing w:line="360" w:lineRule="auto"/>
        <w:rPr>
          <w:sz w:val="26"/>
          <w:szCs w:val="26"/>
        </w:rPr>
      </w:pPr>
      <w:r>
        <w:rPr>
          <w:sz w:val="26"/>
          <w:szCs w:val="26"/>
        </w:rPr>
        <w:lastRenderedPageBreak/>
        <w:tab/>
        <w:t xml:space="preserve">The EAPA and </w:t>
      </w:r>
      <w:r w:rsidR="00D47096">
        <w:rPr>
          <w:sz w:val="26"/>
          <w:szCs w:val="26"/>
        </w:rPr>
        <w:t xml:space="preserve">some of </w:t>
      </w:r>
      <w:r>
        <w:rPr>
          <w:sz w:val="26"/>
          <w:szCs w:val="26"/>
        </w:rPr>
        <w:t xml:space="preserve">the other </w:t>
      </w:r>
      <w:r w:rsidR="000F267F">
        <w:rPr>
          <w:sz w:val="26"/>
          <w:szCs w:val="26"/>
        </w:rPr>
        <w:t>Commenters</w:t>
      </w:r>
      <w:r>
        <w:rPr>
          <w:sz w:val="26"/>
          <w:szCs w:val="26"/>
        </w:rPr>
        <w:t xml:space="preserve"> cited several studies from other Northeastern states that arrived at different HOUs </w:t>
      </w:r>
      <w:r w:rsidR="000F267F">
        <w:rPr>
          <w:sz w:val="26"/>
          <w:szCs w:val="26"/>
        </w:rPr>
        <w:t>that</w:t>
      </w:r>
      <w:r>
        <w:rPr>
          <w:sz w:val="26"/>
          <w:szCs w:val="26"/>
        </w:rPr>
        <w:t xml:space="preserve"> were higher than the 1.9 value proposed by the Commission. </w:t>
      </w:r>
      <w:r w:rsidR="000F267F">
        <w:rPr>
          <w:sz w:val="26"/>
          <w:szCs w:val="26"/>
        </w:rPr>
        <w:t xml:space="preserve"> </w:t>
      </w:r>
      <w:r>
        <w:rPr>
          <w:sz w:val="26"/>
          <w:szCs w:val="26"/>
        </w:rPr>
        <w:t xml:space="preserve">(EAPA </w:t>
      </w:r>
      <w:r w:rsidR="00EE5A5B">
        <w:rPr>
          <w:sz w:val="26"/>
          <w:szCs w:val="26"/>
        </w:rPr>
        <w:t>C</w:t>
      </w:r>
      <w:r>
        <w:rPr>
          <w:sz w:val="26"/>
          <w:szCs w:val="26"/>
        </w:rPr>
        <w:t>omments at 11</w:t>
      </w:r>
      <w:r w:rsidR="00EE5A5B">
        <w:rPr>
          <w:sz w:val="26"/>
          <w:szCs w:val="26"/>
        </w:rPr>
        <w:t xml:space="preserve"> and </w:t>
      </w:r>
      <w:r>
        <w:rPr>
          <w:sz w:val="26"/>
          <w:szCs w:val="26"/>
        </w:rPr>
        <w:t xml:space="preserve">12, PECO </w:t>
      </w:r>
      <w:r w:rsidR="00EE5A5B">
        <w:rPr>
          <w:sz w:val="26"/>
          <w:szCs w:val="26"/>
        </w:rPr>
        <w:t>C</w:t>
      </w:r>
      <w:r>
        <w:rPr>
          <w:sz w:val="26"/>
          <w:szCs w:val="26"/>
        </w:rPr>
        <w:t>omments at 7</w:t>
      </w:r>
      <w:r w:rsidR="00EE5A5B">
        <w:rPr>
          <w:sz w:val="26"/>
          <w:szCs w:val="26"/>
        </w:rPr>
        <w:t xml:space="preserve"> and </w:t>
      </w:r>
      <w:r>
        <w:rPr>
          <w:sz w:val="26"/>
          <w:szCs w:val="26"/>
        </w:rPr>
        <w:t xml:space="preserve">8, </w:t>
      </w:r>
      <w:r w:rsidR="00EE5A5B">
        <w:rPr>
          <w:sz w:val="26"/>
          <w:szCs w:val="26"/>
        </w:rPr>
        <w:t xml:space="preserve">and </w:t>
      </w:r>
      <w:r>
        <w:rPr>
          <w:sz w:val="26"/>
          <w:szCs w:val="26"/>
        </w:rPr>
        <w:t xml:space="preserve">PPL </w:t>
      </w:r>
      <w:r w:rsidR="00EE5A5B">
        <w:rPr>
          <w:sz w:val="26"/>
          <w:szCs w:val="26"/>
        </w:rPr>
        <w:t>C</w:t>
      </w:r>
      <w:r>
        <w:rPr>
          <w:sz w:val="26"/>
          <w:szCs w:val="26"/>
        </w:rPr>
        <w:t>omments at 15</w:t>
      </w:r>
      <w:r w:rsidR="00EE5A5B">
        <w:rPr>
          <w:sz w:val="26"/>
          <w:szCs w:val="26"/>
        </w:rPr>
        <w:t>.</w:t>
      </w:r>
      <w:r>
        <w:rPr>
          <w:sz w:val="26"/>
          <w:szCs w:val="26"/>
        </w:rPr>
        <w:t xml:space="preserve">)  These studies reported average daily HOU values that ranged from 2.0 to 3.4. </w:t>
      </w:r>
      <w:r w:rsidR="00EE5A5B">
        <w:rPr>
          <w:sz w:val="26"/>
          <w:szCs w:val="26"/>
        </w:rPr>
        <w:t xml:space="preserve"> </w:t>
      </w:r>
      <w:r>
        <w:rPr>
          <w:sz w:val="26"/>
          <w:szCs w:val="26"/>
        </w:rPr>
        <w:t xml:space="preserve">(EAPA </w:t>
      </w:r>
      <w:r w:rsidR="00EE5A5B">
        <w:rPr>
          <w:sz w:val="26"/>
          <w:szCs w:val="26"/>
        </w:rPr>
        <w:t>C</w:t>
      </w:r>
      <w:r>
        <w:rPr>
          <w:sz w:val="26"/>
          <w:szCs w:val="26"/>
        </w:rPr>
        <w:t xml:space="preserve">omments at 12, PECO </w:t>
      </w:r>
      <w:r w:rsidR="00EE5A5B">
        <w:rPr>
          <w:sz w:val="26"/>
          <w:szCs w:val="26"/>
        </w:rPr>
        <w:t>C</w:t>
      </w:r>
      <w:r>
        <w:rPr>
          <w:sz w:val="26"/>
          <w:szCs w:val="26"/>
        </w:rPr>
        <w:t xml:space="preserve">omments at 7 </w:t>
      </w:r>
      <w:r w:rsidR="00EE5A5B">
        <w:rPr>
          <w:sz w:val="26"/>
          <w:szCs w:val="26"/>
        </w:rPr>
        <w:t xml:space="preserve">and </w:t>
      </w:r>
      <w:r>
        <w:rPr>
          <w:sz w:val="26"/>
          <w:szCs w:val="26"/>
        </w:rPr>
        <w:t xml:space="preserve">PPL </w:t>
      </w:r>
      <w:r w:rsidR="00EE5A5B">
        <w:rPr>
          <w:sz w:val="26"/>
          <w:szCs w:val="26"/>
        </w:rPr>
        <w:t>C</w:t>
      </w:r>
      <w:r>
        <w:rPr>
          <w:sz w:val="26"/>
          <w:szCs w:val="26"/>
        </w:rPr>
        <w:t>omments at 16</w:t>
      </w:r>
      <w:r w:rsidR="00EE5A5B">
        <w:rPr>
          <w:sz w:val="26"/>
          <w:szCs w:val="26"/>
        </w:rPr>
        <w:t>.</w:t>
      </w:r>
      <w:r>
        <w:rPr>
          <w:sz w:val="26"/>
          <w:szCs w:val="26"/>
        </w:rPr>
        <w:t xml:space="preserve">)  Both PECO and PPL provided HOU information based on preliminary studies recently conducted in their respective service territories that arrived at varying HOU values using different methodologies than those utilized in the KEMA study.  PECO arrived at an overall estimated average daily HOU of 2.23 based on their preliminary study </w:t>
      </w:r>
      <w:r w:rsidR="00EE5A5B">
        <w:rPr>
          <w:sz w:val="26"/>
          <w:szCs w:val="26"/>
        </w:rPr>
        <w:t>that</w:t>
      </w:r>
      <w:r>
        <w:rPr>
          <w:sz w:val="26"/>
          <w:szCs w:val="26"/>
        </w:rPr>
        <w:t xml:space="preserve"> relied, in part, on data reported by customers, as opposed to light metering or logging. </w:t>
      </w:r>
      <w:r w:rsidR="00EE5A5B">
        <w:rPr>
          <w:sz w:val="26"/>
          <w:szCs w:val="26"/>
        </w:rPr>
        <w:t xml:space="preserve"> </w:t>
      </w:r>
      <w:proofErr w:type="gramStart"/>
      <w:r>
        <w:rPr>
          <w:sz w:val="26"/>
          <w:szCs w:val="26"/>
        </w:rPr>
        <w:t xml:space="preserve">(PECO </w:t>
      </w:r>
      <w:r w:rsidR="00EE5A5B">
        <w:rPr>
          <w:sz w:val="26"/>
          <w:szCs w:val="26"/>
        </w:rPr>
        <w:t>C</w:t>
      </w:r>
      <w:r>
        <w:rPr>
          <w:sz w:val="26"/>
          <w:szCs w:val="26"/>
        </w:rPr>
        <w:t>omments at 7</w:t>
      </w:r>
      <w:r w:rsidR="00EE5A5B">
        <w:rPr>
          <w:sz w:val="26"/>
          <w:szCs w:val="26"/>
        </w:rPr>
        <w:t xml:space="preserve"> and </w:t>
      </w:r>
      <w:r>
        <w:rPr>
          <w:sz w:val="26"/>
          <w:szCs w:val="26"/>
        </w:rPr>
        <w:t>8</w:t>
      </w:r>
      <w:r w:rsidR="00EE5A5B">
        <w:rPr>
          <w:sz w:val="26"/>
          <w:szCs w:val="26"/>
        </w:rPr>
        <w:t>.</w:t>
      </w:r>
      <w:r>
        <w:rPr>
          <w:sz w:val="26"/>
          <w:szCs w:val="26"/>
        </w:rPr>
        <w:t>)</w:t>
      </w:r>
      <w:proofErr w:type="gramEnd"/>
      <w:r>
        <w:rPr>
          <w:sz w:val="26"/>
          <w:szCs w:val="26"/>
        </w:rPr>
        <w:t xml:space="preserve">  PPL arrived at an average HOU of 3.8 based on their preliminary study that also relied on self-reporting by customers instead of light metering. </w:t>
      </w:r>
      <w:r w:rsidR="00EE5A5B">
        <w:rPr>
          <w:sz w:val="26"/>
          <w:szCs w:val="26"/>
        </w:rPr>
        <w:t xml:space="preserve"> </w:t>
      </w:r>
      <w:proofErr w:type="gramStart"/>
      <w:r>
        <w:rPr>
          <w:sz w:val="26"/>
          <w:szCs w:val="26"/>
        </w:rPr>
        <w:t xml:space="preserve">(PPL </w:t>
      </w:r>
      <w:r w:rsidR="00EE5A5B">
        <w:rPr>
          <w:sz w:val="26"/>
          <w:szCs w:val="26"/>
        </w:rPr>
        <w:t>C</w:t>
      </w:r>
      <w:r>
        <w:rPr>
          <w:sz w:val="26"/>
          <w:szCs w:val="26"/>
        </w:rPr>
        <w:t>omments at 15</w:t>
      </w:r>
      <w:r w:rsidR="00EE5A5B">
        <w:rPr>
          <w:sz w:val="26"/>
          <w:szCs w:val="26"/>
        </w:rPr>
        <w:t>.</w:t>
      </w:r>
      <w:r>
        <w:rPr>
          <w:sz w:val="26"/>
          <w:szCs w:val="26"/>
        </w:rPr>
        <w:t>)</w:t>
      </w:r>
      <w:proofErr w:type="gramEnd"/>
    </w:p>
    <w:p w:rsidR="002F1A53" w:rsidRPr="00EB3F80" w:rsidRDefault="002F1A53" w:rsidP="00890FA6">
      <w:pPr>
        <w:spacing w:line="360" w:lineRule="auto"/>
        <w:rPr>
          <w:sz w:val="26"/>
          <w:szCs w:val="26"/>
        </w:rPr>
      </w:pPr>
    </w:p>
    <w:p w:rsidR="002D5670" w:rsidRPr="00EB3F80" w:rsidRDefault="009F34FE" w:rsidP="00890FA6">
      <w:pPr>
        <w:spacing w:line="360" w:lineRule="auto"/>
        <w:rPr>
          <w:sz w:val="26"/>
          <w:szCs w:val="26"/>
        </w:rPr>
      </w:pPr>
      <w:r>
        <w:rPr>
          <w:sz w:val="26"/>
          <w:szCs w:val="26"/>
        </w:rPr>
        <w:tab/>
        <w:t xml:space="preserve">The wide range of reported HOU values from studies conducted in other Northeastern states, as well as reported HOU values from preliminary studies done by PECO and PPL, </w:t>
      </w:r>
      <w:r w:rsidR="00D47096">
        <w:rPr>
          <w:sz w:val="26"/>
          <w:szCs w:val="26"/>
        </w:rPr>
        <w:t>has led to suggestions</w:t>
      </w:r>
      <w:r>
        <w:rPr>
          <w:sz w:val="26"/>
          <w:szCs w:val="26"/>
        </w:rPr>
        <w:t xml:space="preserve"> that a statewide lighting study be conducted to arrive at a new HOU figure to be utilized in the future. </w:t>
      </w:r>
      <w:r w:rsidR="00EE5A5B">
        <w:rPr>
          <w:sz w:val="26"/>
          <w:szCs w:val="26"/>
        </w:rPr>
        <w:t xml:space="preserve"> </w:t>
      </w:r>
      <w:r>
        <w:rPr>
          <w:sz w:val="26"/>
          <w:szCs w:val="26"/>
        </w:rPr>
        <w:t xml:space="preserve">(Duquesne </w:t>
      </w:r>
      <w:r w:rsidR="00EE5A5B">
        <w:rPr>
          <w:sz w:val="26"/>
          <w:szCs w:val="26"/>
        </w:rPr>
        <w:t>C</w:t>
      </w:r>
      <w:r>
        <w:rPr>
          <w:sz w:val="26"/>
          <w:szCs w:val="26"/>
        </w:rPr>
        <w:t xml:space="preserve">omments at 3, EAPA </w:t>
      </w:r>
      <w:r w:rsidR="00890FA6">
        <w:rPr>
          <w:sz w:val="26"/>
          <w:szCs w:val="26"/>
        </w:rPr>
        <w:t>C</w:t>
      </w:r>
      <w:r>
        <w:rPr>
          <w:sz w:val="26"/>
          <w:szCs w:val="26"/>
        </w:rPr>
        <w:t xml:space="preserve">omments at 13, PECO </w:t>
      </w:r>
      <w:r w:rsidR="00890FA6">
        <w:rPr>
          <w:sz w:val="26"/>
          <w:szCs w:val="26"/>
        </w:rPr>
        <w:t>C</w:t>
      </w:r>
      <w:r>
        <w:rPr>
          <w:sz w:val="26"/>
          <w:szCs w:val="26"/>
        </w:rPr>
        <w:t xml:space="preserve">omments at 9 </w:t>
      </w:r>
      <w:r w:rsidR="00890FA6">
        <w:rPr>
          <w:sz w:val="26"/>
          <w:szCs w:val="26"/>
        </w:rPr>
        <w:t xml:space="preserve">and </w:t>
      </w:r>
      <w:r>
        <w:rPr>
          <w:sz w:val="26"/>
          <w:szCs w:val="26"/>
        </w:rPr>
        <w:t xml:space="preserve">PPL </w:t>
      </w:r>
      <w:r w:rsidR="00890FA6">
        <w:rPr>
          <w:sz w:val="26"/>
          <w:szCs w:val="26"/>
        </w:rPr>
        <w:t>C</w:t>
      </w:r>
      <w:r>
        <w:rPr>
          <w:sz w:val="26"/>
          <w:szCs w:val="26"/>
        </w:rPr>
        <w:t>omments at 15</w:t>
      </w:r>
      <w:r w:rsidR="00890FA6">
        <w:rPr>
          <w:sz w:val="26"/>
          <w:szCs w:val="26"/>
        </w:rPr>
        <w:t>.</w:t>
      </w:r>
      <w:r>
        <w:rPr>
          <w:sz w:val="26"/>
          <w:szCs w:val="26"/>
        </w:rPr>
        <w:t xml:space="preserve">)  The EAPA suggested that the EDCs conduct a statewide lighting study to determine the most realistic estimated CFL HOU for Pennsylvania.  Alternatively, the EAPA suggested that the Commission use EDC money to perform a lighting study to determine HOU values. </w:t>
      </w:r>
      <w:r w:rsidR="00890FA6">
        <w:rPr>
          <w:sz w:val="26"/>
          <w:szCs w:val="26"/>
        </w:rPr>
        <w:t xml:space="preserve"> </w:t>
      </w:r>
      <w:proofErr w:type="gramStart"/>
      <w:r>
        <w:rPr>
          <w:sz w:val="26"/>
          <w:szCs w:val="26"/>
        </w:rPr>
        <w:t xml:space="preserve">(EAPA </w:t>
      </w:r>
      <w:r w:rsidR="00890FA6">
        <w:rPr>
          <w:sz w:val="26"/>
          <w:szCs w:val="26"/>
        </w:rPr>
        <w:t>C</w:t>
      </w:r>
      <w:r>
        <w:rPr>
          <w:sz w:val="26"/>
          <w:szCs w:val="26"/>
        </w:rPr>
        <w:t>omments at 13</w:t>
      </w:r>
      <w:r w:rsidR="00890FA6">
        <w:rPr>
          <w:sz w:val="26"/>
          <w:szCs w:val="26"/>
        </w:rPr>
        <w:t>.</w:t>
      </w:r>
      <w:r>
        <w:rPr>
          <w:sz w:val="26"/>
          <w:szCs w:val="26"/>
        </w:rPr>
        <w:t>)</w:t>
      </w:r>
      <w:proofErr w:type="gramEnd"/>
      <w:r>
        <w:rPr>
          <w:sz w:val="26"/>
          <w:szCs w:val="26"/>
        </w:rPr>
        <w:t xml:space="preserve">  PECO and PPL provided similar suggestions that Pennsylvania-specific research be conducted via a statewide lighting logger study to determine the most realistic estimated CFL HOU for Pennsylvania.</w:t>
      </w:r>
      <w:r w:rsidR="00890FA6">
        <w:rPr>
          <w:sz w:val="26"/>
          <w:szCs w:val="26"/>
        </w:rPr>
        <w:t xml:space="preserve"> </w:t>
      </w:r>
      <w:r>
        <w:rPr>
          <w:sz w:val="26"/>
          <w:szCs w:val="26"/>
        </w:rPr>
        <w:t xml:space="preserve"> </w:t>
      </w:r>
      <w:proofErr w:type="gramStart"/>
      <w:r>
        <w:rPr>
          <w:sz w:val="26"/>
          <w:szCs w:val="26"/>
        </w:rPr>
        <w:t xml:space="preserve">(PECO </w:t>
      </w:r>
      <w:r w:rsidR="00890FA6">
        <w:rPr>
          <w:sz w:val="26"/>
          <w:szCs w:val="26"/>
        </w:rPr>
        <w:t>C</w:t>
      </w:r>
      <w:r>
        <w:rPr>
          <w:sz w:val="26"/>
          <w:szCs w:val="26"/>
        </w:rPr>
        <w:t xml:space="preserve">omments at 9 </w:t>
      </w:r>
      <w:r w:rsidR="00890FA6">
        <w:rPr>
          <w:sz w:val="26"/>
          <w:szCs w:val="26"/>
        </w:rPr>
        <w:t xml:space="preserve">and </w:t>
      </w:r>
      <w:r>
        <w:rPr>
          <w:sz w:val="26"/>
          <w:szCs w:val="26"/>
        </w:rPr>
        <w:t xml:space="preserve">PPL </w:t>
      </w:r>
      <w:r w:rsidR="00890FA6">
        <w:rPr>
          <w:sz w:val="26"/>
          <w:szCs w:val="26"/>
        </w:rPr>
        <w:t>C</w:t>
      </w:r>
      <w:r>
        <w:rPr>
          <w:sz w:val="26"/>
          <w:szCs w:val="26"/>
        </w:rPr>
        <w:t>omments at 17</w:t>
      </w:r>
      <w:r w:rsidR="00890FA6">
        <w:rPr>
          <w:sz w:val="26"/>
          <w:szCs w:val="26"/>
        </w:rPr>
        <w:t>.</w:t>
      </w:r>
      <w:r>
        <w:rPr>
          <w:sz w:val="26"/>
          <w:szCs w:val="26"/>
        </w:rPr>
        <w:t>)</w:t>
      </w:r>
      <w:proofErr w:type="gramEnd"/>
      <w:r>
        <w:rPr>
          <w:sz w:val="26"/>
          <w:szCs w:val="26"/>
        </w:rPr>
        <w:t xml:space="preserve">  As an alternative, PPL noted that the Commission could coordinate a statewide study, funded by the EDCs, using the same funding and cost collection mechanisms as the Act 129 SWE contract. </w:t>
      </w:r>
      <w:r w:rsidR="00890FA6">
        <w:rPr>
          <w:sz w:val="26"/>
          <w:szCs w:val="26"/>
        </w:rPr>
        <w:t xml:space="preserve"> </w:t>
      </w:r>
      <w:proofErr w:type="gramStart"/>
      <w:r>
        <w:rPr>
          <w:sz w:val="26"/>
          <w:szCs w:val="26"/>
        </w:rPr>
        <w:t xml:space="preserve">(PPL </w:t>
      </w:r>
      <w:r w:rsidR="00890FA6">
        <w:rPr>
          <w:sz w:val="26"/>
          <w:szCs w:val="26"/>
        </w:rPr>
        <w:t>C</w:t>
      </w:r>
      <w:r>
        <w:rPr>
          <w:sz w:val="26"/>
          <w:szCs w:val="26"/>
        </w:rPr>
        <w:t>omments at 17</w:t>
      </w:r>
      <w:r w:rsidR="00890FA6">
        <w:rPr>
          <w:sz w:val="26"/>
          <w:szCs w:val="26"/>
        </w:rPr>
        <w:t>.</w:t>
      </w:r>
      <w:r>
        <w:rPr>
          <w:sz w:val="26"/>
          <w:szCs w:val="26"/>
        </w:rPr>
        <w:t>)</w:t>
      </w:r>
      <w:proofErr w:type="gramEnd"/>
      <w:r>
        <w:rPr>
          <w:sz w:val="26"/>
          <w:szCs w:val="26"/>
        </w:rPr>
        <w:t xml:space="preserve">  </w:t>
      </w:r>
    </w:p>
    <w:p w:rsidR="002D5670" w:rsidRPr="00EB3F80" w:rsidRDefault="002D5670" w:rsidP="00890FA6">
      <w:pPr>
        <w:spacing w:line="360" w:lineRule="auto"/>
        <w:rPr>
          <w:sz w:val="26"/>
          <w:szCs w:val="26"/>
        </w:rPr>
      </w:pPr>
    </w:p>
    <w:p w:rsidR="00844100" w:rsidRDefault="009F34FE" w:rsidP="00890FA6">
      <w:pPr>
        <w:spacing w:line="360" w:lineRule="auto"/>
        <w:ind w:firstLine="720"/>
        <w:rPr>
          <w:sz w:val="26"/>
          <w:szCs w:val="26"/>
        </w:rPr>
      </w:pPr>
      <w:r>
        <w:rPr>
          <w:sz w:val="26"/>
          <w:szCs w:val="26"/>
        </w:rPr>
        <w:lastRenderedPageBreak/>
        <w:t xml:space="preserve">FirstEnergy commented that the 3.0 HOU contained in the 2009 and 2010 TRMs is just and reasonable and should be used until empirical data specific to Pennsylvania can be obtained. </w:t>
      </w:r>
      <w:r w:rsidR="00890FA6">
        <w:rPr>
          <w:sz w:val="26"/>
          <w:szCs w:val="26"/>
        </w:rPr>
        <w:t xml:space="preserve"> </w:t>
      </w:r>
      <w:proofErr w:type="gramStart"/>
      <w:r>
        <w:rPr>
          <w:sz w:val="26"/>
          <w:szCs w:val="26"/>
        </w:rPr>
        <w:t xml:space="preserve">(FirstEnergy </w:t>
      </w:r>
      <w:r w:rsidR="00890FA6">
        <w:rPr>
          <w:sz w:val="26"/>
          <w:szCs w:val="26"/>
        </w:rPr>
        <w:t>C</w:t>
      </w:r>
      <w:r>
        <w:rPr>
          <w:sz w:val="26"/>
          <w:szCs w:val="26"/>
        </w:rPr>
        <w:t>omments at 10</w:t>
      </w:r>
      <w:r w:rsidR="00890FA6">
        <w:rPr>
          <w:sz w:val="26"/>
          <w:szCs w:val="26"/>
        </w:rPr>
        <w:t>.</w:t>
      </w:r>
      <w:r>
        <w:rPr>
          <w:sz w:val="26"/>
          <w:szCs w:val="26"/>
        </w:rPr>
        <w:t>)</w:t>
      </w:r>
      <w:proofErr w:type="gramEnd"/>
    </w:p>
    <w:p w:rsidR="00C52D14" w:rsidRDefault="00C52D14" w:rsidP="0048714F">
      <w:pPr>
        <w:spacing w:line="360" w:lineRule="auto"/>
        <w:rPr>
          <w:sz w:val="26"/>
          <w:szCs w:val="26"/>
        </w:rPr>
      </w:pPr>
    </w:p>
    <w:p w:rsidR="002F1A53" w:rsidRPr="00890FA6" w:rsidRDefault="009F34FE" w:rsidP="0048714F">
      <w:pPr>
        <w:pStyle w:val="ListParagraph"/>
        <w:numPr>
          <w:ilvl w:val="0"/>
          <w:numId w:val="23"/>
        </w:numPr>
        <w:spacing w:line="360" w:lineRule="auto"/>
        <w:ind w:left="1440" w:hanging="720"/>
        <w:rPr>
          <w:b/>
          <w:sz w:val="26"/>
          <w:szCs w:val="26"/>
        </w:rPr>
      </w:pPr>
      <w:r w:rsidRPr="00890FA6">
        <w:rPr>
          <w:b/>
          <w:sz w:val="26"/>
          <w:szCs w:val="26"/>
        </w:rPr>
        <w:t>Disposition</w:t>
      </w:r>
    </w:p>
    <w:p w:rsidR="002F1A53" w:rsidRPr="00EB3F80" w:rsidRDefault="002F1A53" w:rsidP="0048714F">
      <w:pPr>
        <w:spacing w:line="360" w:lineRule="auto"/>
        <w:rPr>
          <w:sz w:val="26"/>
          <w:szCs w:val="26"/>
        </w:rPr>
      </w:pPr>
    </w:p>
    <w:p w:rsidR="002F1A53" w:rsidRPr="00EB3F80" w:rsidRDefault="009F34FE" w:rsidP="0048714F">
      <w:pPr>
        <w:spacing w:line="360" w:lineRule="auto"/>
        <w:rPr>
          <w:sz w:val="26"/>
          <w:szCs w:val="26"/>
        </w:rPr>
      </w:pPr>
      <w:r>
        <w:rPr>
          <w:sz w:val="26"/>
          <w:szCs w:val="26"/>
        </w:rPr>
        <w:tab/>
        <w:t xml:space="preserve">The Commission finds that there is insufficient </w:t>
      </w:r>
      <w:r w:rsidR="0000775F">
        <w:rPr>
          <w:sz w:val="26"/>
          <w:szCs w:val="26"/>
        </w:rPr>
        <w:t xml:space="preserve">Pennsylvania specific </w:t>
      </w:r>
      <w:r>
        <w:rPr>
          <w:sz w:val="26"/>
          <w:szCs w:val="26"/>
        </w:rPr>
        <w:t xml:space="preserve">data currently available and supported by sound research methodology, such as light metering/logging studies, to revise the 3.0 HOU for CFLs contained in the 2010 TRM.  Therefore, the </w:t>
      </w:r>
      <w:r w:rsidR="008625B4">
        <w:rPr>
          <w:sz w:val="26"/>
          <w:szCs w:val="26"/>
        </w:rPr>
        <w:t>2011 TRM</w:t>
      </w:r>
      <w:r>
        <w:rPr>
          <w:sz w:val="26"/>
          <w:szCs w:val="26"/>
        </w:rPr>
        <w:t xml:space="preserve"> retains the 3.0 HOU value.  The 3.0 HOU value was based on information from the DOE ENERGY STAR Calculator as of March 16, 2009.</w:t>
      </w:r>
      <w:r w:rsidR="00A8617D" w:rsidRPr="00EB3F80">
        <w:rPr>
          <w:rStyle w:val="FootnoteReference"/>
          <w:sz w:val="26"/>
          <w:szCs w:val="26"/>
        </w:rPr>
        <w:footnoteReference w:id="27"/>
      </w:r>
      <w:r w:rsidR="00B35CE8" w:rsidRPr="00EB3F80">
        <w:rPr>
          <w:sz w:val="26"/>
          <w:szCs w:val="26"/>
        </w:rPr>
        <w:t xml:space="preserve"> </w:t>
      </w:r>
      <w:r w:rsidR="008625B4">
        <w:rPr>
          <w:sz w:val="26"/>
          <w:szCs w:val="26"/>
        </w:rPr>
        <w:t xml:space="preserve"> </w:t>
      </w:r>
    </w:p>
    <w:p w:rsidR="002F1A53" w:rsidRPr="00EB3F80" w:rsidRDefault="002F1A53" w:rsidP="0048714F">
      <w:pPr>
        <w:spacing w:line="360" w:lineRule="auto"/>
        <w:rPr>
          <w:sz w:val="26"/>
          <w:szCs w:val="26"/>
        </w:rPr>
      </w:pPr>
    </w:p>
    <w:p w:rsidR="002F1A53" w:rsidRPr="00EB3F80" w:rsidRDefault="008625B4" w:rsidP="0048714F">
      <w:pPr>
        <w:spacing w:line="360" w:lineRule="auto"/>
        <w:ind w:firstLine="720"/>
        <w:rPr>
          <w:sz w:val="26"/>
          <w:szCs w:val="26"/>
        </w:rPr>
      </w:pPr>
      <w:r>
        <w:rPr>
          <w:sz w:val="26"/>
          <w:szCs w:val="26"/>
        </w:rPr>
        <w:t xml:space="preserve">While the Commission believes that the 3.0 HOU value to be the best current value for this variable, the comments and data provided by the various Commenters </w:t>
      </w:r>
      <w:r w:rsidR="00F6285E">
        <w:rPr>
          <w:sz w:val="26"/>
          <w:szCs w:val="26"/>
        </w:rPr>
        <w:t>suggests that this may not be the most accurate value to use in the future.  As such, t</w:t>
      </w:r>
      <w:r w:rsidR="002F1A53" w:rsidRPr="00EB3F80">
        <w:rPr>
          <w:sz w:val="26"/>
          <w:szCs w:val="26"/>
        </w:rPr>
        <w:t>he Commission direct</w:t>
      </w:r>
      <w:r w:rsidR="00B35CE8" w:rsidRPr="00EB3F80">
        <w:rPr>
          <w:sz w:val="26"/>
          <w:szCs w:val="26"/>
        </w:rPr>
        <w:t>s</w:t>
      </w:r>
      <w:r w:rsidR="002F1A53" w:rsidRPr="00EB3F80">
        <w:rPr>
          <w:sz w:val="26"/>
          <w:szCs w:val="26"/>
        </w:rPr>
        <w:t xml:space="preserve"> the </w:t>
      </w:r>
      <w:r w:rsidR="00B35CE8" w:rsidRPr="00EB3F80">
        <w:rPr>
          <w:sz w:val="26"/>
          <w:szCs w:val="26"/>
        </w:rPr>
        <w:t>TWG</w:t>
      </w:r>
      <w:r w:rsidR="002F1A53" w:rsidRPr="00EB3F80">
        <w:rPr>
          <w:sz w:val="26"/>
          <w:szCs w:val="26"/>
        </w:rPr>
        <w:t xml:space="preserve"> to </w:t>
      </w:r>
      <w:r w:rsidR="00B35CE8" w:rsidRPr="00EB3F80">
        <w:rPr>
          <w:sz w:val="26"/>
          <w:szCs w:val="26"/>
        </w:rPr>
        <w:t>discuss</w:t>
      </w:r>
      <w:r w:rsidR="002F1A53" w:rsidRPr="00EB3F80">
        <w:rPr>
          <w:sz w:val="26"/>
          <w:szCs w:val="26"/>
        </w:rPr>
        <w:t xml:space="preserve"> and develop CFL HOU study proposal</w:t>
      </w:r>
      <w:r w:rsidR="00F6285E">
        <w:rPr>
          <w:sz w:val="26"/>
          <w:szCs w:val="26"/>
        </w:rPr>
        <w:t>s</w:t>
      </w:r>
      <w:r w:rsidR="002F1A53" w:rsidRPr="00EB3F80">
        <w:rPr>
          <w:sz w:val="26"/>
          <w:szCs w:val="26"/>
        </w:rPr>
        <w:t xml:space="preserve"> to be submitted to the Commission by June 1, 2011.  The study proposal</w:t>
      </w:r>
      <w:r w:rsidR="00F6285E">
        <w:rPr>
          <w:sz w:val="26"/>
          <w:szCs w:val="26"/>
        </w:rPr>
        <w:t>s</w:t>
      </w:r>
      <w:r w:rsidR="002F1A53" w:rsidRPr="00EB3F80">
        <w:rPr>
          <w:sz w:val="26"/>
          <w:szCs w:val="26"/>
        </w:rPr>
        <w:t xml:space="preserve"> should address the merits of looking at the </w:t>
      </w:r>
      <w:r w:rsidR="00B35CE8" w:rsidRPr="00EB3F80">
        <w:rPr>
          <w:sz w:val="26"/>
          <w:szCs w:val="26"/>
        </w:rPr>
        <w:t>HOU</w:t>
      </w:r>
      <w:r w:rsidR="002F1A53" w:rsidRPr="00EB3F80">
        <w:rPr>
          <w:sz w:val="26"/>
          <w:szCs w:val="26"/>
        </w:rPr>
        <w:t xml:space="preserve"> for all bulbs</w:t>
      </w:r>
      <w:r w:rsidR="00F6285E">
        <w:rPr>
          <w:sz w:val="26"/>
          <w:szCs w:val="26"/>
        </w:rPr>
        <w:t xml:space="preserve"> and </w:t>
      </w:r>
      <w:r w:rsidR="002F1A53" w:rsidRPr="00EB3F80">
        <w:rPr>
          <w:sz w:val="26"/>
          <w:szCs w:val="26"/>
        </w:rPr>
        <w:t>sockets in residential applications</w:t>
      </w:r>
      <w:r w:rsidR="00B35CE8" w:rsidRPr="00EB3F80">
        <w:rPr>
          <w:sz w:val="26"/>
          <w:szCs w:val="26"/>
        </w:rPr>
        <w:t>,</w:t>
      </w:r>
      <w:r w:rsidR="002F1A53" w:rsidRPr="00EB3F80">
        <w:rPr>
          <w:sz w:val="26"/>
          <w:szCs w:val="26"/>
        </w:rPr>
        <w:t xml:space="preserve"> as well as the </w:t>
      </w:r>
      <w:r w:rsidR="0000775F">
        <w:rPr>
          <w:sz w:val="26"/>
          <w:szCs w:val="26"/>
        </w:rPr>
        <w:t xml:space="preserve">CFL </w:t>
      </w:r>
      <w:r w:rsidR="002F1A53" w:rsidRPr="00EB3F80">
        <w:rPr>
          <w:sz w:val="26"/>
          <w:szCs w:val="26"/>
        </w:rPr>
        <w:t>market penetration in Pennsylvania.  The study proposal</w:t>
      </w:r>
      <w:r w:rsidR="00F6285E">
        <w:rPr>
          <w:sz w:val="26"/>
          <w:szCs w:val="26"/>
        </w:rPr>
        <w:t>s</w:t>
      </w:r>
      <w:r w:rsidR="002F1A53" w:rsidRPr="00EB3F80">
        <w:rPr>
          <w:sz w:val="26"/>
          <w:szCs w:val="26"/>
        </w:rPr>
        <w:t xml:space="preserve"> should also address the merits of using light metering</w:t>
      </w:r>
      <w:r w:rsidR="00F6285E">
        <w:rPr>
          <w:sz w:val="26"/>
          <w:szCs w:val="26"/>
        </w:rPr>
        <w:t xml:space="preserve"> and </w:t>
      </w:r>
      <w:r w:rsidR="002F1A53" w:rsidRPr="00EB3F80">
        <w:rPr>
          <w:sz w:val="26"/>
          <w:szCs w:val="26"/>
        </w:rPr>
        <w:t xml:space="preserve">logging methodologies and methods that arrive at results that apply to each EDC’s service territory.  </w:t>
      </w:r>
      <w:r w:rsidR="00F6285E">
        <w:rPr>
          <w:sz w:val="26"/>
          <w:szCs w:val="26"/>
        </w:rPr>
        <w:t xml:space="preserve">The estimated costs and </w:t>
      </w:r>
      <w:r w:rsidR="00003352">
        <w:rPr>
          <w:sz w:val="26"/>
          <w:szCs w:val="26"/>
        </w:rPr>
        <w:t>recommended</w:t>
      </w:r>
      <w:r w:rsidR="002F1A53" w:rsidRPr="00EB3F80">
        <w:rPr>
          <w:sz w:val="26"/>
          <w:szCs w:val="26"/>
        </w:rPr>
        <w:t xml:space="preserve"> funding method</w:t>
      </w:r>
      <w:r w:rsidR="00003352">
        <w:rPr>
          <w:sz w:val="26"/>
          <w:szCs w:val="26"/>
        </w:rPr>
        <w:t>s</w:t>
      </w:r>
      <w:r w:rsidR="002F1A53" w:rsidRPr="00EB3F80">
        <w:rPr>
          <w:sz w:val="26"/>
          <w:szCs w:val="26"/>
        </w:rPr>
        <w:t xml:space="preserve"> should </w:t>
      </w:r>
      <w:r w:rsidR="00F6285E">
        <w:rPr>
          <w:sz w:val="26"/>
          <w:szCs w:val="26"/>
        </w:rPr>
        <w:t xml:space="preserve">also </w:t>
      </w:r>
      <w:r w:rsidR="002F1A53" w:rsidRPr="00EB3F80">
        <w:rPr>
          <w:sz w:val="26"/>
          <w:szCs w:val="26"/>
        </w:rPr>
        <w:t xml:space="preserve">be </w:t>
      </w:r>
      <w:r w:rsidR="00003352">
        <w:rPr>
          <w:sz w:val="26"/>
          <w:szCs w:val="26"/>
        </w:rPr>
        <w:t>included</w:t>
      </w:r>
      <w:r w:rsidR="002F1A53" w:rsidRPr="00EB3F80">
        <w:rPr>
          <w:sz w:val="26"/>
          <w:szCs w:val="26"/>
        </w:rPr>
        <w:t xml:space="preserve"> in the study proposal</w:t>
      </w:r>
      <w:r w:rsidR="00F6285E">
        <w:rPr>
          <w:sz w:val="26"/>
          <w:szCs w:val="26"/>
        </w:rPr>
        <w:t>s</w:t>
      </w:r>
      <w:r w:rsidR="002F1A53" w:rsidRPr="00EB3F80">
        <w:rPr>
          <w:sz w:val="26"/>
          <w:szCs w:val="26"/>
        </w:rPr>
        <w:t>.</w:t>
      </w:r>
    </w:p>
    <w:p w:rsidR="001879C3" w:rsidRPr="00EB3F80" w:rsidRDefault="001879C3" w:rsidP="0048714F">
      <w:pPr>
        <w:spacing w:line="360" w:lineRule="auto"/>
        <w:rPr>
          <w:sz w:val="26"/>
          <w:szCs w:val="26"/>
        </w:rPr>
      </w:pPr>
    </w:p>
    <w:p w:rsidR="00DB37D9" w:rsidRDefault="00DE5428" w:rsidP="00DB37D9">
      <w:pPr>
        <w:spacing w:line="360" w:lineRule="auto"/>
        <w:rPr>
          <w:b/>
          <w:sz w:val="26"/>
          <w:szCs w:val="26"/>
        </w:rPr>
      </w:pPr>
      <w:r w:rsidRPr="00EB3F80">
        <w:rPr>
          <w:b/>
          <w:sz w:val="26"/>
          <w:szCs w:val="26"/>
        </w:rPr>
        <w:t>G</w:t>
      </w:r>
      <w:r w:rsidR="006B5753" w:rsidRPr="00EB3F80">
        <w:rPr>
          <w:b/>
          <w:sz w:val="26"/>
          <w:szCs w:val="26"/>
        </w:rPr>
        <w:t xml:space="preserve">.  </w:t>
      </w:r>
      <w:r w:rsidR="00003352">
        <w:rPr>
          <w:b/>
          <w:sz w:val="26"/>
          <w:szCs w:val="26"/>
        </w:rPr>
        <w:tab/>
      </w:r>
      <w:r w:rsidR="001879C3" w:rsidRPr="00EB3F80">
        <w:rPr>
          <w:b/>
          <w:sz w:val="26"/>
          <w:szCs w:val="26"/>
        </w:rPr>
        <w:t>Refrigerator and Freezer Retirement and Recycling</w:t>
      </w:r>
    </w:p>
    <w:p w:rsidR="00DB37D9" w:rsidRDefault="00DB37D9" w:rsidP="00DB37D9">
      <w:pPr>
        <w:spacing w:line="360" w:lineRule="auto"/>
        <w:rPr>
          <w:b/>
          <w:sz w:val="26"/>
          <w:szCs w:val="26"/>
        </w:rPr>
      </w:pPr>
    </w:p>
    <w:p w:rsidR="00EA214B" w:rsidRPr="00DB37D9" w:rsidRDefault="00EA214B" w:rsidP="00DB37D9">
      <w:pPr>
        <w:spacing w:line="360" w:lineRule="auto"/>
        <w:ind w:firstLine="720"/>
        <w:rPr>
          <w:b/>
          <w:sz w:val="26"/>
          <w:szCs w:val="26"/>
        </w:rPr>
      </w:pPr>
      <w:r w:rsidRPr="00EB3F80">
        <w:rPr>
          <w:rFonts w:eastAsia="Calibri"/>
          <w:sz w:val="26"/>
          <w:szCs w:val="26"/>
        </w:rPr>
        <w:t xml:space="preserve">The proposed TRM specified changes to the deemed savings value for removal of refrigerators and freezers and added a new measure to account for the situation where a </w:t>
      </w:r>
      <w:r w:rsidRPr="00EB3F80">
        <w:rPr>
          <w:rFonts w:eastAsia="Calibri"/>
          <w:sz w:val="26"/>
          <w:szCs w:val="26"/>
        </w:rPr>
        <w:lastRenderedPageBreak/>
        <w:t xml:space="preserve">refrigerator or freezer is removed and then replaced with a new, high efficiency refrigerator or freezer. </w:t>
      </w:r>
      <w:r w:rsidR="0085608F" w:rsidRPr="00EB3F80">
        <w:rPr>
          <w:rFonts w:eastAsia="Calibri"/>
          <w:sz w:val="26"/>
          <w:szCs w:val="26"/>
        </w:rPr>
        <w:t xml:space="preserve"> </w:t>
      </w:r>
      <w:r w:rsidRPr="00EB3F80">
        <w:rPr>
          <w:rFonts w:eastAsia="Calibri"/>
          <w:sz w:val="26"/>
          <w:szCs w:val="26"/>
        </w:rPr>
        <w:t>The deemed savings value proposed for refrigerator/freezer removal with no replacement was reduced from 1,728 kWh to 1,659 kWh, and the deemed savings value for removal and replacement</w:t>
      </w:r>
      <w:r w:rsidR="00372132">
        <w:rPr>
          <w:rFonts w:eastAsia="Calibri"/>
          <w:sz w:val="26"/>
          <w:szCs w:val="26"/>
        </w:rPr>
        <w:t xml:space="preserve"> of a refrigerator or freezer (</w:t>
      </w:r>
      <w:r w:rsidRPr="00EB3F80">
        <w:rPr>
          <w:rFonts w:eastAsia="Calibri"/>
          <w:sz w:val="26"/>
          <w:szCs w:val="26"/>
        </w:rPr>
        <w:t xml:space="preserve">a new measure added to the TRM) </w:t>
      </w:r>
      <w:r w:rsidR="00003352">
        <w:rPr>
          <w:rFonts w:eastAsia="Calibri"/>
          <w:sz w:val="26"/>
          <w:szCs w:val="26"/>
        </w:rPr>
        <w:t>wa</w:t>
      </w:r>
      <w:r w:rsidRPr="00EB3F80">
        <w:rPr>
          <w:rFonts w:eastAsia="Calibri"/>
          <w:sz w:val="26"/>
          <w:szCs w:val="26"/>
        </w:rPr>
        <w:t xml:space="preserve">s proposed as 1,205 kWh.  </w:t>
      </w:r>
    </w:p>
    <w:p w:rsidR="00EA214B" w:rsidRPr="00EB3F80" w:rsidRDefault="00EA214B" w:rsidP="00EA214B">
      <w:pPr>
        <w:overflowPunct/>
        <w:autoSpaceDE/>
        <w:autoSpaceDN/>
        <w:adjustRightInd/>
        <w:textAlignment w:val="auto"/>
        <w:rPr>
          <w:rFonts w:eastAsia="Calibri"/>
          <w:b/>
          <w:sz w:val="26"/>
          <w:szCs w:val="26"/>
        </w:rPr>
      </w:pPr>
    </w:p>
    <w:p w:rsidR="00EA214B" w:rsidRPr="00003352" w:rsidRDefault="00EA214B" w:rsidP="0052550D">
      <w:pPr>
        <w:pStyle w:val="ListParagraph"/>
        <w:numPr>
          <w:ilvl w:val="0"/>
          <w:numId w:val="24"/>
        </w:numPr>
        <w:spacing w:line="360" w:lineRule="auto"/>
        <w:ind w:left="1440" w:hanging="720"/>
        <w:rPr>
          <w:rFonts w:eastAsia="Calibri"/>
          <w:b/>
          <w:sz w:val="26"/>
          <w:szCs w:val="26"/>
        </w:rPr>
      </w:pPr>
      <w:r w:rsidRPr="00003352">
        <w:rPr>
          <w:rFonts w:eastAsia="Calibri"/>
          <w:b/>
          <w:sz w:val="26"/>
          <w:szCs w:val="26"/>
        </w:rPr>
        <w:t xml:space="preserve">Comments  </w:t>
      </w:r>
    </w:p>
    <w:p w:rsidR="00EA214B" w:rsidRPr="00EB3F80" w:rsidRDefault="00EA214B" w:rsidP="00EA214B">
      <w:pPr>
        <w:spacing w:line="360" w:lineRule="auto"/>
        <w:rPr>
          <w:rFonts w:eastAsia="Calibri"/>
          <w:sz w:val="26"/>
          <w:szCs w:val="26"/>
        </w:rPr>
      </w:pPr>
      <w:r w:rsidRPr="00EB3F80">
        <w:rPr>
          <w:rFonts w:eastAsia="Calibri"/>
          <w:sz w:val="26"/>
          <w:szCs w:val="26"/>
        </w:rPr>
        <w:tab/>
      </w:r>
    </w:p>
    <w:p w:rsidR="00CD48D6" w:rsidRDefault="0085608F" w:rsidP="00EA214B">
      <w:pPr>
        <w:spacing w:line="360" w:lineRule="auto"/>
        <w:ind w:firstLine="720"/>
        <w:rPr>
          <w:rFonts w:eastAsia="Calibri"/>
          <w:sz w:val="26"/>
          <w:szCs w:val="26"/>
        </w:rPr>
      </w:pPr>
      <w:r w:rsidRPr="00EB3F80">
        <w:rPr>
          <w:rFonts w:eastAsia="Calibri"/>
          <w:sz w:val="26"/>
          <w:szCs w:val="26"/>
        </w:rPr>
        <w:t xml:space="preserve">The </w:t>
      </w:r>
      <w:r w:rsidR="00EA214B" w:rsidRPr="00EB3F80">
        <w:rPr>
          <w:rFonts w:eastAsia="Calibri"/>
          <w:sz w:val="26"/>
          <w:szCs w:val="26"/>
        </w:rPr>
        <w:t>EAP</w:t>
      </w:r>
      <w:r w:rsidRPr="00EB3F80">
        <w:rPr>
          <w:rFonts w:eastAsia="Calibri"/>
          <w:sz w:val="26"/>
          <w:szCs w:val="26"/>
        </w:rPr>
        <w:t>A</w:t>
      </w:r>
      <w:r w:rsidR="00EA214B" w:rsidRPr="00EB3F80">
        <w:rPr>
          <w:rFonts w:eastAsia="Calibri"/>
          <w:sz w:val="26"/>
          <w:szCs w:val="26"/>
        </w:rPr>
        <w:t>, PPL, and Duquesne all disagree</w:t>
      </w:r>
      <w:r w:rsidRPr="00EB3F80">
        <w:rPr>
          <w:rFonts w:eastAsia="Calibri"/>
          <w:sz w:val="26"/>
          <w:szCs w:val="26"/>
        </w:rPr>
        <w:t>d</w:t>
      </w:r>
      <w:r w:rsidR="00EA214B" w:rsidRPr="00EB3F80">
        <w:rPr>
          <w:rFonts w:eastAsia="Calibri"/>
          <w:sz w:val="26"/>
          <w:szCs w:val="26"/>
        </w:rPr>
        <w:t xml:space="preserve"> with the proposed changes to the refrigerator/freezer retirement and recycling TRM protocol</w:t>
      </w:r>
      <w:r w:rsidR="009B4CCE">
        <w:rPr>
          <w:rFonts w:eastAsia="Calibri"/>
          <w:sz w:val="26"/>
          <w:szCs w:val="26"/>
        </w:rPr>
        <w:t>s.</w:t>
      </w:r>
      <w:r w:rsidR="00EA214B" w:rsidRPr="00EB3F80">
        <w:rPr>
          <w:rFonts w:eastAsia="Calibri"/>
          <w:sz w:val="26"/>
          <w:szCs w:val="26"/>
        </w:rPr>
        <w:t xml:space="preserve">  These </w:t>
      </w:r>
      <w:r w:rsidR="00003352">
        <w:rPr>
          <w:rFonts w:eastAsia="Calibri"/>
          <w:sz w:val="26"/>
          <w:szCs w:val="26"/>
        </w:rPr>
        <w:t>Commenters</w:t>
      </w:r>
      <w:r w:rsidR="00EA214B" w:rsidRPr="00EB3F80">
        <w:rPr>
          <w:rFonts w:eastAsia="Calibri"/>
          <w:sz w:val="26"/>
          <w:szCs w:val="26"/>
        </w:rPr>
        <w:t xml:space="preserve"> stated that, similar to the CFL </w:t>
      </w:r>
      <w:r w:rsidR="006D55B5" w:rsidRPr="00EB3F80">
        <w:rPr>
          <w:rFonts w:eastAsia="Calibri"/>
          <w:sz w:val="26"/>
          <w:szCs w:val="26"/>
        </w:rPr>
        <w:t xml:space="preserve">HOU </w:t>
      </w:r>
      <w:r w:rsidR="00EA214B" w:rsidRPr="00EB3F80">
        <w:rPr>
          <w:rFonts w:eastAsia="Calibri"/>
          <w:sz w:val="26"/>
          <w:szCs w:val="26"/>
        </w:rPr>
        <w:t>proposed change, consistency in baseline assumptions is necessary when EDCs are implementing their approved EE&amp;C plans.  They state</w:t>
      </w:r>
      <w:r w:rsidRPr="00EB3F80">
        <w:rPr>
          <w:rFonts w:eastAsia="Calibri"/>
          <w:sz w:val="26"/>
          <w:szCs w:val="26"/>
        </w:rPr>
        <w:t>d</w:t>
      </w:r>
      <w:r w:rsidR="00EA214B" w:rsidRPr="00EB3F80">
        <w:rPr>
          <w:rFonts w:eastAsia="Calibri"/>
          <w:sz w:val="26"/>
          <w:szCs w:val="26"/>
        </w:rPr>
        <w:t xml:space="preserve"> that the deemed savings per refrigerator/freezer should remain constant for the duration of approved EE&amp;C plans in order to allow EDCs sufficient time to adjust </w:t>
      </w:r>
      <w:r w:rsidR="00063FAE">
        <w:rPr>
          <w:rFonts w:eastAsia="Calibri"/>
          <w:sz w:val="26"/>
          <w:szCs w:val="26"/>
        </w:rPr>
        <w:t>their</w:t>
      </w:r>
      <w:r w:rsidR="00EA214B" w:rsidRPr="00EB3F80">
        <w:rPr>
          <w:rFonts w:eastAsia="Calibri"/>
          <w:sz w:val="26"/>
          <w:szCs w:val="26"/>
        </w:rPr>
        <w:t xml:space="preserve"> plans. </w:t>
      </w:r>
      <w:r w:rsidR="00063FAE">
        <w:rPr>
          <w:rFonts w:eastAsia="Calibri"/>
          <w:sz w:val="26"/>
          <w:szCs w:val="26"/>
        </w:rPr>
        <w:t xml:space="preserve"> </w:t>
      </w:r>
      <w:r w:rsidR="00EA214B" w:rsidRPr="00EB3F80">
        <w:rPr>
          <w:rFonts w:eastAsia="Calibri"/>
          <w:sz w:val="26"/>
          <w:szCs w:val="26"/>
        </w:rPr>
        <w:t>(EAP</w:t>
      </w:r>
      <w:r w:rsidRPr="00EB3F80">
        <w:rPr>
          <w:rFonts w:eastAsia="Calibri"/>
          <w:sz w:val="26"/>
          <w:szCs w:val="26"/>
        </w:rPr>
        <w:t>A</w:t>
      </w:r>
      <w:r w:rsidR="00EA214B" w:rsidRPr="00EB3F80">
        <w:rPr>
          <w:rFonts w:eastAsia="Calibri"/>
          <w:sz w:val="26"/>
          <w:szCs w:val="26"/>
        </w:rPr>
        <w:t xml:space="preserve"> </w:t>
      </w:r>
      <w:r w:rsidR="00063FAE">
        <w:rPr>
          <w:rFonts w:eastAsia="Calibri"/>
          <w:sz w:val="26"/>
          <w:szCs w:val="26"/>
        </w:rPr>
        <w:t>C</w:t>
      </w:r>
      <w:r w:rsidR="00EA214B" w:rsidRPr="00EB3F80">
        <w:rPr>
          <w:rFonts w:eastAsia="Calibri"/>
          <w:sz w:val="26"/>
          <w:szCs w:val="26"/>
        </w:rPr>
        <w:t xml:space="preserve">omments at 13, Duquesne </w:t>
      </w:r>
      <w:r w:rsidR="00063FAE">
        <w:rPr>
          <w:rFonts w:eastAsia="Calibri"/>
          <w:sz w:val="26"/>
          <w:szCs w:val="26"/>
        </w:rPr>
        <w:t>C</w:t>
      </w:r>
      <w:r w:rsidR="0000775F">
        <w:rPr>
          <w:rFonts w:eastAsia="Calibri"/>
          <w:sz w:val="26"/>
          <w:szCs w:val="26"/>
        </w:rPr>
        <w:t>omments at 3</w:t>
      </w:r>
      <w:r w:rsidR="00EA214B" w:rsidRPr="00EB3F80">
        <w:rPr>
          <w:rFonts w:eastAsia="Calibri"/>
          <w:sz w:val="26"/>
          <w:szCs w:val="26"/>
        </w:rPr>
        <w:t xml:space="preserve"> </w:t>
      </w:r>
      <w:r w:rsidR="00063FAE">
        <w:rPr>
          <w:rFonts w:eastAsia="Calibri"/>
          <w:sz w:val="26"/>
          <w:szCs w:val="26"/>
        </w:rPr>
        <w:t xml:space="preserve">and </w:t>
      </w:r>
      <w:r w:rsidR="00EA214B" w:rsidRPr="00EB3F80">
        <w:rPr>
          <w:rFonts w:eastAsia="Calibri"/>
          <w:sz w:val="26"/>
          <w:szCs w:val="26"/>
        </w:rPr>
        <w:t xml:space="preserve">PPL </w:t>
      </w:r>
      <w:r w:rsidR="00063FAE">
        <w:rPr>
          <w:rFonts w:eastAsia="Calibri"/>
          <w:sz w:val="26"/>
          <w:szCs w:val="26"/>
        </w:rPr>
        <w:t>C</w:t>
      </w:r>
      <w:r w:rsidR="00EA214B" w:rsidRPr="00EB3F80">
        <w:rPr>
          <w:rFonts w:eastAsia="Calibri"/>
          <w:sz w:val="26"/>
          <w:szCs w:val="26"/>
        </w:rPr>
        <w:t>omments at 17</w:t>
      </w:r>
      <w:r w:rsidR="00063FAE">
        <w:rPr>
          <w:rFonts w:eastAsia="Calibri"/>
          <w:sz w:val="26"/>
          <w:szCs w:val="26"/>
        </w:rPr>
        <w:t>.</w:t>
      </w:r>
      <w:r w:rsidR="00EA214B" w:rsidRPr="00EB3F80">
        <w:rPr>
          <w:rFonts w:eastAsia="Calibri"/>
          <w:sz w:val="26"/>
          <w:szCs w:val="26"/>
        </w:rPr>
        <w:t xml:space="preserve">)  </w:t>
      </w:r>
    </w:p>
    <w:p w:rsidR="00CD48D6" w:rsidRDefault="00CD48D6" w:rsidP="00EA214B">
      <w:pPr>
        <w:spacing w:line="360" w:lineRule="auto"/>
        <w:ind w:firstLine="720"/>
        <w:rPr>
          <w:rFonts w:eastAsia="Calibri"/>
          <w:sz w:val="26"/>
          <w:szCs w:val="26"/>
        </w:rPr>
      </w:pPr>
    </w:p>
    <w:p w:rsidR="00CD48D6" w:rsidRDefault="00EA214B" w:rsidP="00EA214B">
      <w:pPr>
        <w:spacing w:line="360" w:lineRule="auto"/>
        <w:ind w:firstLine="720"/>
        <w:rPr>
          <w:rFonts w:eastAsia="Calibri"/>
          <w:sz w:val="26"/>
          <w:szCs w:val="26"/>
        </w:rPr>
      </w:pPr>
      <w:r w:rsidRPr="00EB3F80">
        <w:rPr>
          <w:rFonts w:eastAsia="Calibri"/>
          <w:sz w:val="26"/>
          <w:szCs w:val="26"/>
        </w:rPr>
        <w:t>Additionally,</w:t>
      </w:r>
      <w:r w:rsidR="0085608F" w:rsidRPr="00EB3F80">
        <w:rPr>
          <w:rFonts w:eastAsia="Calibri"/>
          <w:sz w:val="26"/>
          <w:szCs w:val="26"/>
        </w:rPr>
        <w:t xml:space="preserve"> the</w:t>
      </w:r>
      <w:r w:rsidRPr="00EB3F80">
        <w:rPr>
          <w:rFonts w:eastAsia="Calibri"/>
          <w:sz w:val="26"/>
          <w:szCs w:val="26"/>
        </w:rPr>
        <w:t xml:space="preserve"> EAP</w:t>
      </w:r>
      <w:r w:rsidR="0085608F" w:rsidRPr="00EB3F80">
        <w:rPr>
          <w:rFonts w:eastAsia="Calibri"/>
          <w:sz w:val="26"/>
          <w:szCs w:val="26"/>
        </w:rPr>
        <w:t>A</w:t>
      </w:r>
      <w:r w:rsidRPr="00EB3F80">
        <w:rPr>
          <w:rFonts w:eastAsia="Calibri"/>
          <w:sz w:val="26"/>
          <w:szCs w:val="26"/>
        </w:rPr>
        <w:t>, PPL, and Duquesne disagree</w:t>
      </w:r>
      <w:r w:rsidR="0085608F" w:rsidRPr="00EB3F80">
        <w:rPr>
          <w:rFonts w:eastAsia="Calibri"/>
          <w:sz w:val="26"/>
          <w:szCs w:val="26"/>
        </w:rPr>
        <w:t>d</w:t>
      </w:r>
      <w:r w:rsidRPr="00EB3F80">
        <w:rPr>
          <w:rFonts w:eastAsia="Calibri"/>
          <w:sz w:val="26"/>
          <w:szCs w:val="26"/>
        </w:rPr>
        <w:t xml:space="preserve"> with the updated savings estimate proposed </w:t>
      </w:r>
      <w:r w:rsidR="00063FAE">
        <w:rPr>
          <w:rFonts w:eastAsia="Calibri"/>
          <w:sz w:val="26"/>
          <w:szCs w:val="26"/>
        </w:rPr>
        <w:t xml:space="preserve">for the </w:t>
      </w:r>
      <w:r w:rsidRPr="00EB3F80">
        <w:rPr>
          <w:rFonts w:eastAsia="Calibri"/>
          <w:sz w:val="26"/>
          <w:szCs w:val="26"/>
        </w:rPr>
        <w:t>2011 TRM.  They disagree</w:t>
      </w:r>
      <w:r w:rsidR="009F34FE">
        <w:rPr>
          <w:rFonts w:eastAsia="Calibri"/>
          <w:sz w:val="26"/>
          <w:szCs w:val="26"/>
        </w:rPr>
        <w:t xml:space="preserve">d with the use of the ENERGY STAR calculator, </w:t>
      </w:r>
      <w:r w:rsidR="00063FAE">
        <w:rPr>
          <w:rFonts w:eastAsia="Calibri"/>
          <w:sz w:val="26"/>
          <w:szCs w:val="26"/>
        </w:rPr>
        <w:t>asserting that it</w:t>
      </w:r>
      <w:r w:rsidR="009F34FE">
        <w:rPr>
          <w:rFonts w:eastAsia="Calibri"/>
          <w:sz w:val="26"/>
          <w:szCs w:val="26"/>
        </w:rPr>
        <w:t xml:space="preserve"> is </w:t>
      </w:r>
      <w:r w:rsidR="00063FAE">
        <w:rPr>
          <w:rFonts w:eastAsia="Calibri"/>
          <w:sz w:val="26"/>
          <w:szCs w:val="26"/>
        </w:rPr>
        <w:t>only designed</w:t>
      </w:r>
      <w:r w:rsidR="009F34FE">
        <w:rPr>
          <w:rFonts w:eastAsia="Calibri"/>
          <w:sz w:val="26"/>
          <w:szCs w:val="26"/>
        </w:rPr>
        <w:t xml:space="preserve"> to provide end users with an idea about energy usage, to be a professional evaluation resource.</w:t>
      </w:r>
      <w:r w:rsidR="009F34FE">
        <w:rPr>
          <w:rFonts w:eastAsia="Calibri"/>
          <w:sz w:val="26"/>
          <w:szCs w:val="26"/>
          <w:vertAlign w:val="superscript"/>
        </w:rPr>
        <w:t xml:space="preserve"> </w:t>
      </w:r>
      <w:r w:rsidRPr="00EB3F80">
        <w:rPr>
          <w:rFonts w:eastAsia="Calibri"/>
          <w:sz w:val="26"/>
          <w:szCs w:val="26"/>
          <w:vertAlign w:val="superscript"/>
        </w:rPr>
        <w:footnoteReference w:id="28"/>
      </w:r>
      <w:r w:rsidRPr="00EB3F80">
        <w:rPr>
          <w:rFonts w:eastAsia="Calibri"/>
          <w:sz w:val="26"/>
          <w:szCs w:val="26"/>
        </w:rPr>
        <w:t xml:space="preserve"> </w:t>
      </w:r>
      <w:r w:rsidR="00063FAE">
        <w:rPr>
          <w:rFonts w:eastAsia="Calibri"/>
          <w:sz w:val="26"/>
          <w:szCs w:val="26"/>
        </w:rPr>
        <w:t xml:space="preserve"> </w:t>
      </w:r>
      <w:r w:rsidRPr="00EB3F80">
        <w:rPr>
          <w:rFonts w:eastAsia="Calibri"/>
          <w:sz w:val="26"/>
          <w:szCs w:val="26"/>
        </w:rPr>
        <w:t>(</w:t>
      </w:r>
      <w:r w:rsidR="002207FC" w:rsidRPr="00EB3F80">
        <w:rPr>
          <w:rFonts w:eastAsia="Calibri"/>
          <w:sz w:val="26"/>
          <w:szCs w:val="26"/>
        </w:rPr>
        <w:t xml:space="preserve">Duquesne </w:t>
      </w:r>
      <w:r w:rsidR="002207FC">
        <w:rPr>
          <w:rFonts w:eastAsia="Calibri"/>
          <w:sz w:val="26"/>
          <w:szCs w:val="26"/>
        </w:rPr>
        <w:t>C</w:t>
      </w:r>
      <w:r w:rsidR="002207FC" w:rsidRPr="00EB3F80">
        <w:rPr>
          <w:rFonts w:eastAsia="Calibri"/>
          <w:sz w:val="26"/>
          <w:szCs w:val="26"/>
        </w:rPr>
        <w:t>omments at 4</w:t>
      </w:r>
      <w:r w:rsidR="002207FC">
        <w:rPr>
          <w:rFonts w:eastAsia="Calibri"/>
          <w:sz w:val="26"/>
          <w:szCs w:val="26"/>
        </w:rPr>
        <w:t xml:space="preserve">, </w:t>
      </w:r>
      <w:r w:rsidRPr="00EB3F80">
        <w:rPr>
          <w:rFonts w:eastAsia="Calibri"/>
          <w:sz w:val="26"/>
          <w:szCs w:val="26"/>
        </w:rPr>
        <w:t>EAP</w:t>
      </w:r>
      <w:r w:rsidR="0085608F" w:rsidRPr="00EB3F80">
        <w:rPr>
          <w:rFonts w:eastAsia="Calibri"/>
          <w:sz w:val="26"/>
          <w:szCs w:val="26"/>
        </w:rPr>
        <w:t>A</w:t>
      </w:r>
      <w:r w:rsidRPr="00EB3F80">
        <w:rPr>
          <w:rFonts w:eastAsia="Calibri"/>
          <w:sz w:val="26"/>
          <w:szCs w:val="26"/>
        </w:rPr>
        <w:t xml:space="preserve"> </w:t>
      </w:r>
      <w:r w:rsidR="00063FAE">
        <w:rPr>
          <w:rFonts w:eastAsia="Calibri"/>
          <w:sz w:val="26"/>
          <w:szCs w:val="26"/>
        </w:rPr>
        <w:t>C</w:t>
      </w:r>
      <w:r w:rsidRPr="00EB3F80">
        <w:rPr>
          <w:rFonts w:eastAsia="Calibri"/>
          <w:sz w:val="26"/>
          <w:szCs w:val="26"/>
        </w:rPr>
        <w:t>omments at 13</w:t>
      </w:r>
      <w:r w:rsidR="00063FAE">
        <w:rPr>
          <w:rFonts w:eastAsia="Calibri"/>
          <w:sz w:val="26"/>
          <w:szCs w:val="26"/>
        </w:rPr>
        <w:t xml:space="preserve"> and </w:t>
      </w:r>
      <w:r w:rsidRPr="00EB3F80">
        <w:rPr>
          <w:rFonts w:eastAsia="Calibri"/>
          <w:sz w:val="26"/>
          <w:szCs w:val="26"/>
        </w:rPr>
        <w:t xml:space="preserve">14, </w:t>
      </w:r>
      <w:r w:rsidR="002207FC">
        <w:rPr>
          <w:rFonts w:eastAsia="Calibri"/>
          <w:sz w:val="26"/>
          <w:szCs w:val="26"/>
        </w:rPr>
        <w:t xml:space="preserve">and </w:t>
      </w:r>
      <w:r w:rsidRPr="00EB3F80">
        <w:rPr>
          <w:rFonts w:eastAsia="Calibri"/>
          <w:sz w:val="26"/>
          <w:szCs w:val="26"/>
        </w:rPr>
        <w:t xml:space="preserve">PPL </w:t>
      </w:r>
      <w:r w:rsidR="002207FC">
        <w:rPr>
          <w:rFonts w:eastAsia="Calibri"/>
          <w:sz w:val="26"/>
          <w:szCs w:val="26"/>
        </w:rPr>
        <w:t>C</w:t>
      </w:r>
      <w:r w:rsidRPr="00EB3F80">
        <w:rPr>
          <w:rFonts w:eastAsia="Calibri"/>
          <w:sz w:val="26"/>
          <w:szCs w:val="26"/>
        </w:rPr>
        <w:t>omments at 17</w:t>
      </w:r>
      <w:r w:rsidR="002207FC">
        <w:rPr>
          <w:rFonts w:eastAsia="Calibri"/>
          <w:sz w:val="26"/>
          <w:szCs w:val="26"/>
        </w:rPr>
        <w:t xml:space="preserve"> and </w:t>
      </w:r>
      <w:r w:rsidRPr="00EB3F80">
        <w:rPr>
          <w:rFonts w:eastAsia="Calibri"/>
          <w:sz w:val="26"/>
          <w:szCs w:val="26"/>
        </w:rPr>
        <w:t>18</w:t>
      </w:r>
      <w:r w:rsidR="002207FC">
        <w:rPr>
          <w:rFonts w:eastAsia="Calibri"/>
          <w:sz w:val="26"/>
          <w:szCs w:val="26"/>
        </w:rPr>
        <w:t>.</w:t>
      </w:r>
      <w:r w:rsidRPr="00EB3F80">
        <w:rPr>
          <w:rFonts w:eastAsia="Calibri"/>
          <w:sz w:val="26"/>
          <w:szCs w:val="26"/>
        </w:rPr>
        <w:t xml:space="preserve">)  Duquesne </w:t>
      </w:r>
      <w:r w:rsidR="006D55B5" w:rsidRPr="00EB3F80">
        <w:rPr>
          <w:rFonts w:eastAsia="Calibri"/>
          <w:sz w:val="26"/>
          <w:szCs w:val="26"/>
        </w:rPr>
        <w:t xml:space="preserve">requested that </w:t>
      </w:r>
      <w:r w:rsidRPr="00EB3F80">
        <w:rPr>
          <w:rFonts w:eastAsia="Calibri"/>
          <w:sz w:val="26"/>
          <w:szCs w:val="26"/>
        </w:rPr>
        <w:t>the Commission reevaluate and study this change before enacting it.</w:t>
      </w:r>
      <w:r w:rsidR="002207FC">
        <w:rPr>
          <w:rFonts w:eastAsia="Calibri"/>
          <w:sz w:val="26"/>
          <w:szCs w:val="26"/>
        </w:rPr>
        <w:t xml:space="preserve"> </w:t>
      </w:r>
      <w:r w:rsidRPr="00EB3F80">
        <w:rPr>
          <w:rFonts w:eastAsia="Calibri"/>
          <w:sz w:val="26"/>
          <w:szCs w:val="26"/>
        </w:rPr>
        <w:t xml:space="preserve"> </w:t>
      </w:r>
      <w:proofErr w:type="gramStart"/>
      <w:r w:rsidRPr="00EB3F80">
        <w:rPr>
          <w:rFonts w:eastAsia="Calibri"/>
          <w:sz w:val="26"/>
          <w:szCs w:val="26"/>
        </w:rPr>
        <w:t xml:space="preserve">(Duquesne </w:t>
      </w:r>
      <w:r w:rsidR="002207FC">
        <w:rPr>
          <w:rFonts w:eastAsia="Calibri"/>
          <w:sz w:val="26"/>
          <w:szCs w:val="26"/>
        </w:rPr>
        <w:t>C</w:t>
      </w:r>
      <w:r w:rsidRPr="00EB3F80">
        <w:rPr>
          <w:rFonts w:eastAsia="Calibri"/>
          <w:sz w:val="26"/>
          <w:szCs w:val="26"/>
        </w:rPr>
        <w:t>omments at 4</w:t>
      </w:r>
      <w:r w:rsidR="002207FC">
        <w:rPr>
          <w:rFonts w:eastAsia="Calibri"/>
          <w:sz w:val="26"/>
          <w:szCs w:val="26"/>
        </w:rPr>
        <w:t>.</w:t>
      </w:r>
      <w:r w:rsidRPr="00EB3F80">
        <w:rPr>
          <w:rFonts w:eastAsia="Calibri"/>
          <w:sz w:val="26"/>
          <w:szCs w:val="26"/>
        </w:rPr>
        <w:t>)</w:t>
      </w:r>
      <w:proofErr w:type="gramEnd"/>
      <w:r w:rsidRPr="00EB3F80">
        <w:rPr>
          <w:rFonts w:eastAsia="Calibri"/>
          <w:sz w:val="26"/>
          <w:szCs w:val="26"/>
        </w:rPr>
        <w:t xml:space="preserve">  </w:t>
      </w:r>
    </w:p>
    <w:p w:rsidR="0000775F" w:rsidRDefault="0000775F" w:rsidP="00EA214B">
      <w:pPr>
        <w:spacing w:line="360" w:lineRule="auto"/>
        <w:ind w:firstLine="720"/>
        <w:rPr>
          <w:rFonts w:eastAsia="Calibri"/>
          <w:sz w:val="26"/>
          <w:szCs w:val="26"/>
        </w:rPr>
      </w:pPr>
    </w:p>
    <w:p w:rsidR="00CD48D6" w:rsidRDefault="0085608F" w:rsidP="00EA214B">
      <w:pPr>
        <w:spacing w:line="360" w:lineRule="auto"/>
        <w:ind w:firstLine="720"/>
        <w:rPr>
          <w:rFonts w:eastAsia="Calibri"/>
          <w:sz w:val="26"/>
          <w:szCs w:val="26"/>
        </w:rPr>
      </w:pPr>
      <w:r w:rsidRPr="00EB3F80">
        <w:rPr>
          <w:rFonts w:eastAsia="Calibri"/>
          <w:sz w:val="26"/>
          <w:szCs w:val="26"/>
        </w:rPr>
        <w:t xml:space="preserve">The </w:t>
      </w:r>
      <w:r w:rsidR="00EA214B" w:rsidRPr="00EB3F80">
        <w:rPr>
          <w:rFonts w:eastAsia="Calibri"/>
          <w:sz w:val="26"/>
          <w:szCs w:val="26"/>
        </w:rPr>
        <w:t>EAP</w:t>
      </w:r>
      <w:r w:rsidRPr="00EB3F80">
        <w:rPr>
          <w:rFonts w:eastAsia="Calibri"/>
          <w:sz w:val="26"/>
          <w:szCs w:val="26"/>
        </w:rPr>
        <w:t>A</w:t>
      </w:r>
      <w:r w:rsidR="00EA214B" w:rsidRPr="00EB3F80">
        <w:rPr>
          <w:rFonts w:eastAsia="Calibri"/>
          <w:sz w:val="26"/>
          <w:szCs w:val="26"/>
        </w:rPr>
        <w:t xml:space="preserve"> and PPL suggested implementing a statewide </w:t>
      </w:r>
      <w:r w:rsidR="00EA214B" w:rsidRPr="00EB3F80">
        <w:rPr>
          <w:rFonts w:eastAsia="Calibri"/>
          <w:i/>
          <w:sz w:val="26"/>
          <w:szCs w:val="26"/>
        </w:rPr>
        <w:t>in situ</w:t>
      </w:r>
      <w:r w:rsidR="00755D49" w:rsidRPr="00755D49">
        <w:rPr>
          <w:rFonts w:eastAsia="Calibri"/>
          <w:sz w:val="26"/>
          <w:szCs w:val="26"/>
        </w:rPr>
        <w:t xml:space="preserve"> </w:t>
      </w:r>
      <w:r w:rsidR="00EA214B" w:rsidRPr="00EB3F80">
        <w:rPr>
          <w:rFonts w:eastAsia="Calibri"/>
          <w:sz w:val="26"/>
          <w:szCs w:val="26"/>
        </w:rPr>
        <w:t xml:space="preserve">metering study.  </w:t>
      </w:r>
      <w:r w:rsidR="002207FC">
        <w:rPr>
          <w:rFonts w:eastAsia="Calibri"/>
          <w:sz w:val="26"/>
          <w:szCs w:val="26"/>
        </w:rPr>
        <w:t>In the alternative</w:t>
      </w:r>
      <w:r w:rsidR="00EA214B" w:rsidRPr="00564279">
        <w:rPr>
          <w:rFonts w:eastAsia="Calibri"/>
          <w:sz w:val="26"/>
          <w:szCs w:val="26"/>
        </w:rPr>
        <w:t xml:space="preserve">, </w:t>
      </w:r>
      <w:r w:rsidRPr="00564279">
        <w:rPr>
          <w:rFonts w:eastAsia="Calibri"/>
          <w:sz w:val="26"/>
          <w:szCs w:val="26"/>
        </w:rPr>
        <w:t xml:space="preserve">the </w:t>
      </w:r>
      <w:r w:rsidR="00EA214B" w:rsidRPr="00564279">
        <w:rPr>
          <w:rFonts w:eastAsia="Calibri"/>
          <w:sz w:val="26"/>
          <w:szCs w:val="26"/>
        </w:rPr>
        <w:t>EAP</w:t>
      </w:r>
      <w:r w:rsidRPr="00564279">
        <w:rPr>
          <w:rFonts w:eastAsia="Calibri"/>
          <w:sz w:val="26"/>
          <w:szCs w:val="26"/>
        </w:rPr>
        <w:t>A</w:t>
      </w:r>
      <w:r w:rsidR="00EA214B" w:rsidRPr="00564279">
        <w:rPr>
          <w:rFonts w:eastAsia="Calibri"/>
          <w:sz w:val="26"/>
          <w:szCs w:val="26"/>
        </w:rPr>
        <w:t xml:space="preserve"> and PPL recommended basing the savings on a robust </w:t>
      </w:r>
      <w:r w:rsidR="00EA214B" w:rsidRPr="00564279">
        <w:rPr>
          <w:rFonts w:eastAsia="Calibri"/>
          <w:sz w:val="26"/>
          <w:szCs w:val="26"/>
        </w:rPr>
        <w:lastRenderedPageBreak/>
        <w:t>appliance consumption database</w:t>
      </w:r>
      <w:r w:rsidRPr="00564279">
        <w:rPr>
          <w:rFonts w:eastAsia="Calibri"/>
          <w:sz w:val="26"/>
          <w:szCs w:val="26"/>
        </w:rPr>
        <w:t>,</w:t>
      </w:r>
      <w:r w:rsidR="00EA214B" w:rsidRPr="00564279">
        <w:rPr>
          <w:rFonts w:eastAsia="Calibri"/>
          <w:sz w:val="26"/>
          <w:szCs w:val="26"/>
        </w:rPr>
        <w:t xml:space="preserve"> specifically the California Energy Commission’s database.</w:t>
      </w:r>
      <w:r w:rsidR="00EA214B" w:rsidRPr="00564279">
        <w:rPr>
          <w:rFonts w:eastAsia="Calibri"/>
          <w:sz w:val="26"/>
          <w:szCs w:val="26"/>
          <w:vertAlign w:val="superscript"/>
        </w:rPr>
        <w:footnoteReference w:id="29"/>
      </w:r>
      <w:r w:rsidR="00EA214B" w:rsidRPr="00564279">
        <w:rPr>
          <w:rFonts w:eastAsia="Calibri"/>
          <w:sz w:val="26"/>
          <w:szCs w:val="26"/>
        </w:rPr>
        <w:t xml:space="preserve"> </w:t>
      </w:r>
      <w:r w:rsidR="002207FC">
        <w:rPr>
          <w:rFonts w:eastAsia="Calibri"/>
          <w:sz w:val="26"/>
          <w:szCs w:val="26"/>
        </w:rPr>
        <w:t xml:space="preserve"> </w:t>
      </w:r>
      <w:proofErr w:type="gramStart"/>
      <w:r w:rsidR="00EA214B" w:rsidRPr="00564279">
        <w:rPr>
          <w:rFonts w:eastAsia="Calibri"/>
          <w:sz w:val="26"/>
          <w:szCs w:val="26"/>
        </w:rPr>
        <w:t>(EAP</w:t>
      </w:r>
      <w:r w:rsidRPr="00564279">
        <w:rPr>
          <w:rFonts w:eastAsia="Calibri"/>
          <w:sz w:val="26"/>
          <w:szCs w:val="26"/>
        </w:rPr>
        <w:t>A</w:t>
      </w:r>
      <w:r w:rsidR="00EA214B" w:rsidRPr="00564279">
        <w:rPr>
          <w:rFonts w:eastAsia="Calibri"/>
          <w:sz w:val="26"/>
          <w:szCs w:val="26"/>
        </w:rPr>
        <w:t xml:space="preserve"> </w:t>
      </w:r>
      <w:r w:rsidR="002207FC">
        <w:rPr>
          <w:rFonts w:eastAsia="Calibri"/>
          <w:sz w:val="26"/>
          <w:szCs w:val="26"/>
        </w:rPr>
        <w:t>C</w:t>
      </w:r>
      <w:r w:rsidR="00EA214B" w:rsidRPr="00564279">
        <w:rPr>
          <w:rFonts w:eastAsia="Calibri"/>
          <w:sz w:val="26"/>
          <w:szCs w:val="26"/>
        </w:rPr>
        <w:t xml:space="preserve">omments at 14 </w:t>
      </w:r>
      <w:r w:rsidR="002207FC">
        <w:rPr>
          <w:rFonts w:eastAsia="Calibri"/>
          <w:sz w:val="26"/>
          <w:szCs w:val="26"/>
        </w:rPr>
        <w:t xml:space="preserve">and </w:t>
      </w:r>
      <w:r w:rsidR="00EA214B" w:rsidRPr="00564279">
        <w:rPr>
          <w:rFonts w:eastAsia="Calibri"/>
          <w:sz w:val="26"/>
          <w:szCs w:val="26"/>
        </w:rPr>
        <w:t xml:space="preserve">PPL </w:t>
      </w:r>
      <w:r w:rsidR="002207FC">
        <w:rPr>
          <w:rFonts w:eastAsia="Calibri"/>
          <w:sz w:val="26"/>
          <w:szCs w:val="26"/>
        </w:rPr>
        <w:t>C</w:t>
      </w:r>
      <w:r w:rsidR="00EA214B" w:rsidRPr="00564279">
        <w:rPr>
          <w:rFonts w:eastAsia="Calibri"/>
          <w:sz w:val="26"/>
          <w:szCs w:val="26"/>
        </w:rPr>
        <w:t>omments at 18</w:t>
      </w:r>
      <w:r w:rsidR="002207FC">
        <w:rPr>
          <w:rFonts w:eastAsia="Calibri"/>
          <w:sz w:val="26"/>
          <w:szCs w:val="26"/>
        </w:rPr>
        <w:t>.</w:t>
      </w:r>
      <w:r w:rsidR="00EA214B" w:rsidRPr="00564279">
        <w:rPr>
          <w:rFonts w:eastAsia="Calibri"/>
          <w:sz w:val="26"/>
          <w:szCs w:val="26"/>
        </w:rPr>
        <w:t>)</w:t>
      </w:r>
      <w:proofErr w:type="gramEnd"/>
      <w:r w:rsidR="00EA214B" w:rsidRPr="00564279">
        <w:rPr>
          <w:rFonts w:eastAsia="Calibri"/>
          <w:sz w:val="26"/>
          <w:szCs w:val="26"/>
        </w:rPr>
        <w:t xml:space="preserve"> </w:t>
      </w:r>
    </w:p>
    <w:p w:rsidR="00D66700" w:rsidRDefault="00D66700" w:rsidP="00EA214B">
      <w:pPr>
        <w:spacing w:line="360" w:lineRule="auto"/>
        <w:ind w:firstLine="720"/>
        <w:rPr>
          <w:rFonts w:eastAsia="Calibri"/>
          <w:sz w:val="26"/>
          <w:szCs w:val="26"/>
        </w:rPr>
      </w:pPr>
    </w:p>
    <w:p w:rsidR="00EA214B" w:rsidRPr="00564279" w:rsidRDefault="00EA214B" w:rsidP="00EA214B">
      <w:pPr>
        <w:spacing w:line="360" w:lineRule="auto"/>
        <w:ind w:firstLine="720"/>
        <w:rPr>
          <w:rFonts w:eastAsia="Calibri"/>
          <w:sz w:val="26"/>
          <w:szCs w:val="26"/>
        </w:rPr>
      </w:pPr>
      <w:r w:rsidRPr="00564279">
        <w:rPr>
          <w:rFonts w:eastAsia="Calibri"/>
          <w:sz w:val="26"/>
          <w:szCs w:val="26"/>
        </w:rPr>
        <w:t xml:space="preserve"> </w:t>
      </w:r>
      <w:r w:rsidR="002207FC">
        <w:rPr>
          <w:rFonts w:eastAsia="Calibri"/>
          <w:sz w:val="26"/>
          <w:szCs w:val="26"/>
        </w:rPr>
        <w:t>The</w:t>
      </w:r>
      <w:r w:rsidR="0085608F" w:rsidRPr="00564279">
        <w:rPr>
          <w:rFonts w:eastAsia="Calibri"/>
          <w:sz w:val="26"/>
          <w:szCs w:val="26"/>
        </w:rPr>
        <w:t xml:space="preserve"> </w:t>
      </w:r>
      <w:r w:rsidRPr="00564279">
        <w:rPr>
          <w:rFonts w:eastAsia="Calibri"/>
          <w:sz w:val="26"/>
          <w:szCs w:val="26"/>
        </w:rPr>
        <w:t>EAP</w:t>
      </w:r>
      <w:r w:rsidR="0085608F" w:rsidRPr="00564279">
        <w:rPr>
          <w:rFonts w:eastAsia="Calibri"/>
          <w:sz w:val="26"/>
          <w:szCs w:val="26"/>
        </w:rPr>
        <w:t>A</w:t>
      </w:r>
      <w:r w:rsidRPr="00564279">
        <w:rPr>
          <w:rFonts w:eastAsia="Calibri"/>
          <w:sz w:val="26"/>
          <w:szCs w:val="26"/>
        </w:rPr>
        <w:t xml:space="preserve">, PPL, and Duquesne </w:t>
      </w:r>
      <w:r w:rsidR="002207FC">
        <w:rPr>
          <w:rFonts w:eastAsia="Calibri"/>
          <w:sz w:val="26"/>
          <w:szCs w:val="26"/>
        </w:rPr>
        <w:t xml:space="preserve">further </w:t>
      </w:r>
      <w:r w:rsidRPr="00564279">
        <w:rPr>
          <w:rFonts w:eastAsia="Calibri"/>
          <w:sz w:val="26"/>
          <w:szCs w:val="26"/>
        </w:rPr>
        <w:t>stated that they do not support additional proposed eligibility requirements including requiring a refrigerator to be ten or more years old and to be a secondary refrigerator that will not be replaced.  These companies stated that the additional requirements are impractical for implementation purposes and could be a disincentive for participation</w:t>
      </w:r>
      <w:r w:rsidR="00087065">
        <w:rPr>
          <w:rFonts w:eastAsia="Calibri"/>
          <w:sz w:val="26"/>
          <w:szCs w:val="26"/>
        </w:rPr>
        <w:t>,</w:t>
      </w:r>
      <w:r w:rsidRPr="00564279">
        <w:rPr>
          <w:rFonts w:eastAsia="Calibri"/>
          <w:sz w:val="26"/>
          <w:szCs w:val="26"/>
        </w:rPr>
        <w:t xml:space="preserve"> thereby decreasing overall energy savings attributable to refrigerator recycling</w:t>
      </w:r>
      <w:r w:rsidR="00087065">
        <w:rPr>
          <w:rFonts w:eastAsia="Calibri"/>
          <w:sz w:val="26"/>
          <w:szCs w:val="26"/>
        </w:rPr>
        <w:t xml:space="preserve"> and </w:t>
      </w:r>
      <w:r w:rsidRPr="00564279">
        <w:rPr>
          <w:rFonts w:eastAsia="Calibri"/>
          <w:sz w:val="26"/>
          <w:szCs w:val="26"/>
        </w:rPr>
        <w:t>retirement</w:t>
      </w:r>
      <w:r w:rsidR="00087065">
        <w:rPr>
          <w:rFonts w:eastAsia="Calibri"/>
          <w:sz w:val="26"/>
          <w:szCs w:val="26"/>
        </w:rPr>
        <w:t xml:space="preserve"> programs</w:t>
      </w:r>
      <w:r w:rsidRPr="00564279">
        <w:rPr>
          <w:rFonts w:eastAsia="Calibri"/>
          <w:sz w:val="26"/>
          <w:szCs w:val="26"/>
        </w:rPr>
        <w:t xml:space="preserve">. </w:t>
      </w:r>
      <w:r w:rsidR="00087065">
        <w:rPr>
          <w:rFonts w:eastAsia="Calibri"/>
          <w:sz w:val="26"/>
          <w:szCs w:val="26"/>
        </w:rPr>
        <w:t xml:space="preserve"> </w:t>
      </w:r>
      <w:r w:rsidRPr="00564279">
        <w:rPr>
          <w:rFonts w:eastAsia="Calibri"/>
          <w:sz w:val="26"/>
          <w:szCs w:val="26"/>
        </w:rPr>
        <w:t>(</w:t>
      </w:r>
      <w:r w:rsidR="00087065" w:rsidRPr="00564279">
        <w:rPr>
          <w:rFonts w:eastAsia="Calibri"/>
          <w:sz w:val="26"/>
          <w:szCs w:val="26"/>
        </w:rPr>
        <w:t xml:space="preserve">Duquesne </w:t>
      </w:r>
      <w:r w:rsidR="00087065">
        <w:rPr>
          <w:rFonts w:eastAsia="Calibri"/>
          <w:sz w:val="26"/>
          <w:szCs w:val="26"/>
        </w:rPr>
        <w:t>C</w:t>
      </w:r>
      <w:r w:rsidR="00087065" w:rsidRPr="00564279">
        <w:rPr>
          <w:rFonts w:eastAsia="Calibri"/>
          <w:sz w:val="26"/>
          <w:szCs w:val="26"/>
        </w:rPr>
        <w:t>omments at 4</w:t>
      </w:r>
      <w:r w:rsidR="00087065">
        <w:rPr>
          <w:rFonts w:eastAsia="Calibri"/>
          <w:sz w:val="26"/>
          <w:szCs w:val="26"/>
        </w:rPr>
        <w:t xml:space="preserve">, </w:t>
      </w:r>
      <w:r w:rsidRPr="00564279">
        <w:rPr>
          <w:rFonts w:eastAsia="Calibri"/>
          <w:sz w:val="26"/>
          <w:szCs w:val="26"/>
        </w:rPr>
        <w:t>EAP</w:t>
      </w:r>
      <w:r w:rsidR="0085608F" w:rsidRPr="00564279">
        <w:rPr>
          <w:rFonts w:eastAsia="Calibri"/>
          <w:sz w:val="26"/>
          <w:szCs w:val="26"/>
        </w:rPr>
        <w:t>A</w:t>
      </w:r>
      <w:r w:rsidRPr="00564279">
        <w:rPr>
          <w:rFonts w:eastAsia="Calibri"/>
          <w:sz w:val="26"/>
          <w:szCs w:val="26"/>
        </w:rPr>
        <w:t xml:space="preserve"> </w:t>
      </w:r>
      <w:r w:rsidR="00087065">
        <w:rPr>
          <w:rFonts w:eastAsia="Calibri"/>
          <w:sz w:val="26"/>
          <w:szCs w:val="26"/>
        </w:rPr>
        <w:t>C</w:t>
      </w:r>
      <w:r w:rsidRPr="00564279">
        <w:rPr>
          <w:rFonts w:eastAsia="Calibri"/>
          <w:sz w:val="26"/>
          <w:szCs w:val="26"/>
        </w:rPr>
        <w:t xml:space="preserve">omments at 15 </w:t>
      </w:r>
      <w:r w:rsidR="00087065">
        <w:rPr>
          <w:rFonts w:eastAsia="Calibri"/>
          <w:sz w:val="26"/>
          <w:szCs w:val="26"/>
        </w:rPr>
        <w:t xml:space="preserve">and </w:t>
      </w:r>
      <w:r w:rsidRPr="00564279">
        <w:rPr>
          <w:rFonts w:eastAsia="Calibri"/>
          <w:sz w:val="26"/>
          <w:szCs w:val="26"/>
        </w:rPr>
        <w:t xml:space="preserve">PPL </w:t>
      </w:r>
      <w:r w:rsidR="00087065">
        <w:rPr>
          <w:rFonts w:eastAsia="Calibri"/>
          <w:sz w:val="26"/>
          <w:szCs w:val="26"/>
        </w:rPr>
        <w:t>C</w:t>
      </w:r>
      <w:r w:rsidRPr="00564279">
        <w:rPr>
          <w:rFonts w:eastAsia="Calibri"/>
          <w:sz w:val="26"/>
          <w:szCs w:val="26"/>
        </w:rPr>
        <w:t>omments at 1</w:t>
      </w:r>
      <w:r w:rsidR="008A6AC1" w:rsidRPr="00564279">
        <w:rPr>
          <w:rFonts w:eastAsia="Calibri"/>
          <w:sz w:val="26"/>
          <w:szCs w:val="26"/>
        </w:rPr>
        <w:t>8-20</w:t>
      </w:r>
      <w:r w:rsidR="00087065">
        <w:rPr>
          <w:rFonts w:eastAsia="Calibri"/>
          <w:sz w:val="26"/>
          <w:szCs w:val="26"/>
        </w:rPr>
        <w:t>.</w:t>
      </w:r>
      <w:r w:rsidRPr="00564279">
        <w:rPr>
          <w:rFonts w:eastAsia="Calibri"/>
          <w:sz w:val="26"/>
          <w:szCs w:val="26"/>
        </w:rPr>
        <w:t>)</w:t>
      </w:r>
      <w:r w:rsidR="00CD48D6" w:rsidRPr="00564279">
        <w:rPr>
          <w:rFonts w:eastAsia="Calibri"/>
          <w:sz w:val="26"/>
          <w:szCs w:val="26"/>
        </w:rPr>
        <w:t xml:space="preserve">  </w:t>
      </w:r>
      <w:r w:rsidR="00547C82" w:rsidRPr="00564279">
        <w:rPr>
          <w:rFonts w:eastAsia="Calibri"/>
          <w:sz w:val="26"/>
          <w:szCs w:val="26"/>
        </w:rPr>
        <w:t>PPL also commented that S</w:t>
      </w:r>
      <w:r w:rsidR="00CD48D6" w:rsidRPr="00564279">
        <w:rPr>
          <w:rFonts w:eastAsia="Calibri"/>
          <w:sz w:val="26"/>
          <w:szCs w:val="26"/>
        </w:rPr>
        <w:t xml:space="preserve">ection 2.29 in the </w:t>
      </w:r>
      <w:r w:rsidR="00547C82" w:rsidRPr="00564279">
        <w:rPr>
          <w:rFonts w:eastAsia="Calibri"/>
          <w:sz w:val="26"/>
          <w:szCs w:val="26"/>
        </w:rPr>
        <w:t>draft TRM appears to duplicate S</w:t>
      </w:r>
      <w:r w:rsidR="00CD48D6" w:rsidRPr="00564279">
        <w:rPr>
          <w:rFonts w:eastAsia="Calibri"/>
          <w:sz w:val="26"/>
          <w:szCs w:val="26"/>
        </w:rPr>
        <w:t>ection 2.23.</w:t>
      </w:r>
      <w:r w:rsidR="005A5D55" w:rsidRPr="00564279">
        <w:rPr>
          <w:rFonts w:eastAsia="Calibri"/>
          <w:sz w:val="26"/>
          <w:szCs w:val="26"/>
        </w:rPr>
        <w:t xml:space="preserve"> </w:t>
      </w:r>
      <w:r w:rsidR="00087065">
        <w:rPr>
          <w:rFonts w:eastAsia="Calibri"/>
          <w:sz w:val="26"/>
          <w:szCs w:val="26"/>
        </w:rPr>
        <w:t xml:space="preserve"> </w:t>
      </w:r>
      <w:proofErr w:type="gramStart"/>
      <w:r w:rsidR="005A5D55" w:rsidRPr="00564279">
        <w:rPr>
          <w:rFonts w:eastAsia="Calibri"/>
          <w:sz w:val="26"/>
          <w:szCs w:val="26"/>
        </w:rPr>
        <w:t xml:space="preserve">(PPL </w:t>
      </w:r>
      <w:r w:rsidR="00087065">
        <w:rPr>
          <w:rFonts w:eastAsia="Calibri"/>
          <w:sz w:val="26"/>
          <w:szCs w:val="26"/>
        </w:rPr>
        <w:t>C</w:t>
      </w:r>
      <w:r w:rsidR="005A5D55" w:rsidRPr="00564279">
        <w:rPr>
          <w:rFonts w:eastAsia="Calibri"/>
          <w:sz w:val="26"/>
          <w:szCs w:val="26"/>
        </w:rPr>
        <w:t>omments at 20</w:t>
      </w:r>
      <w:r w:rsidR="00087065">
        <w:rPr>
          <w:rFonts w:eastAsia="Calibri"/>
          <w:sz w:val="26"/>
          <w:szCs w:val="26"/>
        </w:rPr>
        <w:t>.</w:t>
      </w:r>
      <w:r w:rsidR="005A5D55" w:rsidRPr="00564279">
        <w:rPr>
          <w:rFonts w:eastAsia="Calibri"/>
          <w:sz w:val="26"/>
          <w:szCs w:val="26"/>
        </w:rPr>
        <w:t>)</w:t>
      </w:r>
      <w:proofErr w:type="gramEnd"/>
    </w:p>
    <w:p w:rsidR="00DC7A7D" w:rsidRPr="00564279" w:rsidRDefault="00DC7A7D" w:rsidP="00EA214B">
      <w:pPr>
        <w:spacing w:line="360" w:lineRule="auto"/>
        <w:ind w:firstLine="720"/>
        <w:rPr>
          <w:rFonts w:eastAsia="Calibri"/>
          <w:sz w:val="26"/>
          <w:szCs w:val="26"/>
        </w:rPr>
      </w:pPr>
    </w:p>
    <w:p w:rsidR="00DC7A7D" w:rsidRPr="00564279" w:rsidRDefault="00DC7A7D" w:rsidP="00EA214B">
      <w:pPr>
        <w:spacing w:line="360" w:lineRule="auto"/>
        <w:ind w:firstLine="720"/>
        <w:rPr>
          <w:rFonts w:eastAsia="Calibri"/>
          <w:sz w:val="26"/>
          <w:szCs w:val="26"/>
        </w:rPr>
      </w:pPr>
      <w:r w:rsidRPr="00564279">
        <w:rPr>
          <w:sz w:val="26"/>
          <w:szCs w:val="26"/>
        </w:rPr>
        <w:t>In its comments, FirstEnergy requested that the TRM include a measure for the replacement of a refrigerator</w:t>
      </w:r>
      <w:r w:rsidR="00087065">
        <w:rPr>
          <w:sz w:val="26"/>
          <w:szCs w:val="26"/>
        </w:rPr>
        <w:t xml:space="preserve"> or </w:t>
      </w:r>
      <w:r w:rsidRPr="00564279">
        <w:rPr>
          <w:sz w:val="26"/>
          <w:szCs w:val="26"/>
        </w:rPr>
        <w:t>freezer with a standard efficiency unit.  FirstEnergy stated that this protocol would account for a savings of 1,125 kWh, as determined by the subtraction of 80 kWh (reflecting the difference between an ENERGY STAR and standard unit) from 1,205 kWh (used for the replacement of a refrigerator</w:t>
      </w:r>
      <w:r w:rsidR="00087065">
        <w:rPr>
          <w:sz w:val="26"/>
          <w:szCs w:val="26"/>
        </w:rPr>
        <w:t xml:space="preserve"> or </w:t>
      </w:r>
      <w:r w:rsidRPr="00564279">
        <w:rPr>
          <w:sz w:val="26"/>
          <w:szCs w:val="26"/>
        </w:rPr>
        <w:t xml:space="preserve">freezer with an ENERGY STAR unit). </w:t>
      </w:r>
      <w:r w:rsidR="00087065">
        <w:rPr>
          <w:sz w:val="26"/>
          <w:szCs w:val="26"/>
        </w:rPr>
        <w:t xml:space="preserve"> </w:t>
      </w:r>
      <w:proofErr w:type="gramStart"/>
      <w:r w:rsidRPr="00564279">
        <w:rPr>
          <w:sz w:val="26"/>
          <w:szCs w:val="26"/>
        </w:rPr>
        <w:t xml:space="preserve">(FirstEnergy </w:t>
      </w:r>
      <w:r w:rsidR="00087065">
        <w:rPr>
          <w:sz w:val="26"/>
          <w:szCs w:val="26"/>
        </w:rPr>
        <w:t>C</w:t>
      </w:r>
      <w:r w:rsidRPr="00564279">
        <w:rPr>
          <w:sz w:val="26"/>
          <w:szCs w:val="26"/>
        </w:rPr>
        <w:t>omments at 14</w:t>
      </w:r>
      <w:r w:rsidR="00087065">
        <w:rPr>
          <w:sz w:val="26"/>
          <w:szCs w:val="26"/>
        </w:rPr>
        <w:t>.</w:t>
      </w:r>
      <w:r w:rsidRPr="00564279">
        <w:rPr>
          <w:sz w:val="26"/>
          <w:szCs w:val="26"/>
        </w:rPr>
        <w:t>)</w:t>
      </w:r>
      <w:proofErr w:type="gramEnd"/>
      <w:r w:rsidRPr="00564279">
        <w:rPr>
          <w:sz w:val="26"/>
          <w:szCs w:val="26"/>
        </w:rPr>
        <w:t xml:space="preserve">  This protocol, in addition to the other refrigerator/freezer protocols, would provide the EDCs the ability to claim savings for refrigerator/freezer retirement, replacement with an ENERGY STAR unit and replacement with a standard efficiency unit.</w:t>
      </w:r>
    </w:p>
    <w:p w:rsidR="00297E7B" w:rsidRPr="00564279" w:rsidRDefault="00297E7B" w:rsidP="00EA214B">
      <w:pPr>
        <w:spacing w:line="360" w:lineRule="auto"/>
        <w:rPr>
          <w:rFonts w:eastAsia="Calibri"/>
          <w:sz w:val="26"/>
          <w:szCs w:val="26"/>
        </w:rPr>
      </w:pPr>
    </w:p>
    <w:p w:rsidR="00D66700" w:rsidRDefault="00D66700">
      <w:pPr>
        <w:overflowPunct/>
        <w:autoSpaceDE/>
        <w:autoSpaceDN/>
        <w:adjustRightInd/>
        <w:spacing w:after="200" w:line="276" w:lineRule="auto"/>
        <w:textAlignment w:val="auto"/>
        <w:rPr>
          <w:rFonts w:eastAsia="Calibri"/>
          <w:b/>
          <w:sz w:val="26"/>
          <w:szCs w:val="26"/>
        </w:rPr>
      </w:pPr>
      <w:r>
        <w:rPr>
          <w:rFonts w:eastAsia="Calibri"/>
          <w:b/>
          <w:sz w:val="26"/>
          <w:szCs w:val="26"/>
        </w:rPr>
        <w:br w:type="page"/>
      </w:r>
    </w:p>
    <w:p w:rsidR="00EA214B" w:rsidRPr="001D5428" w:rsidRDefault="00EA214B" w:rsidP="0052550D">
      <w:pPr>
        <w:pStyle w:val="ListParagraph"/>
        <w:numPr>
          <w:ilvl w:val="0"/>
          <w:numId w:val="24"/>
        </w:numPr>
        <w:spacing w:line="360" w:lineRule="auto"/>
        <w:ind w:left="1440" w:hanging="720"/>
        <w:rPr>
          <w:rFonts w:eastAsia="Calibri"/>
          <w:b/>
          <w:sz w:val="26"/>
          <w:szCs w:val="26"/>
        </w:rPr>
      </w:pPr>
      <w:r w:rsidRPr="001D5428">
        <w:rPr>
          <w:rFonts w:eastAsia="Calibri"/>
          <w:b/>
          <w:sz w:val="26"/>
          <w:szCs w:val="26"/>
        </w:rPr>
        <w:lastRenderedPageBreak/>
        <w:t>Disposition</w:t>
      </w:r>
    </w:p>
    <w:p w:rsidR="00EA214B" w:rsidRPr="00EB3F80" w:rsidRDefault="00EA214B" w:rsidP="00EA214B">
      <w:pPr>
        <w:spacing w:line="360" w:lineRule="auto"/>
        <w:ind w:firstLine="720"/>
        <w:rPr>
          <w:rFonts w:eastAsia="Calibri"/>
          <w:b/>
          <w:sz w:val="26"/>
          <w:szCs w:val="26"/>
        </w:rPr>
      </w:pPr>
    </w:p>
    <w:p w:rsidR="0004312F" w:rsidRPr="00F406C5" w:rsidRDefault="00EA214B" w:rsidP="00EF68E7">
      <w:pPr>
        <w:spacing w:line="360" w:lineRule="auto"/>
        <w:ind w:firstLine="720"/>
        <w:rPr>
          <w:rFonts w:eastAsia="Calibri"/>
          <w:sz w:val="26"/>
          <w:szCs w:val="26"/>
        </w:rPr>
      </w:pPr>
      <w:r w:rsidRPr="00EB3F80">
        <w:rPr>
          <w:rFonts w:eastAsia="Calibri"/>
          <w:sz w:val="26"/>
          <w:szCs w:val="26"/>
        </w:rPr>
        <w:t xml:space="preserve">The Commission finds that the revised deemed savings value of 1,659 kWh for residential refrigerator/freezer removal with no replacement and 1,205 kWh for residential refrigerator/freezer removal with replacement are reasonable values and should be included in the 2011 TRM. </w:t>
      </w:r>
      <w:r w:rsidR="0085608F" w:rsidRPr="00EB3F80">
        <w:rPr>
          <w:rFonts w:eastAsia="Calibri"/>
          <w:sz w:val="26"/>
          <w:szCs w:val="26"/>
        </w:rPr>
        <w:t xml:space="preserve"> </w:t>
      </w:r>
      <w:r w:rsidR="001D5428" w:rsidRPr="00EB3F80">
        <w:rPr>
          <w:rFonts w:eastAsia="Calibri"/>
          <w:sz w:val="26"/>
          <w:szCs w:val="26"/>
        </w:rPr>
        <w:t>The</w:t>
      </w:r>
      <w:r w:rsidR="001D5428">
        <w:rPr>
          <w:rFonts w:eastAsia="Calibri"/>
          <w:sz w:val="26"/>
          <w:szCs w:val="26"/>
        </w:rPr>
        <w:t>se</w:t>
      </w:r>
      <w:r w:rsidR="001D5428" w:rsidRPr="00EB3F80">
        <w:rPr>
          <w:rFonts w:eastAsia="Calibri"/>
          <w:sz w:val="26"/>
          <w:szCs w:val="26"/>
        </w:rPr>
        <w:t xml:space="preserve"> kWh savings values</w:t>
      </w:r>
      <w:r w:rsidR="001D5428">
        <w:rPr>
          <w:rFonts w:eastAsia="Calibri"/>
          <w:sz w:val="26"/>
          <w:szCs w:val="26"/>
        </w:rPr>
        <w:t>, separated</w:t>
      </w:r>
      <w:r w:rsidR="001D5428" w:rsidRPr="00EB3F80">
        <w:rPr>
          <w:rFonts w:eastAsia="Calibri"/>
          <w:sz w:val="26"/>
          <w:szCs w:val="26"/>
        </w:rPr>
        <w:t xml:space="preserve"> by age, size and type of refrigerator/freezer</w:t>
      </w:r>
      <w:r w:rsidR="001D5428">
        <w:rPr>
          <w:rFonts w:eastAsia="Calibri"/>
          <w:sz w:val="26"/>
          <w:szCs w:val="26"/>
        </w:rPr>
        <w:t>,</w:t>
      </w:r>
      <w:r w:rsidR="001D5428" w:rsidRPr="00EB3F80">
        <w:rPr>
          <w:rFonts w:eastAsia="Calibri"/>
          <w:sz w:val="26"/>
          <w:szCs w:val="26"/>
        </w:rPr>
        <w:t xml:space="preserve"> </w:t>
      </w:r>
      <w:r w:rsidR="001D5428">
        <w:rPr>
          <w:rFonts w:eastAsia="Calibri"/>
          <w:sz w:val="26"/>
          <w:szCs w:val="26"/>
        </w:rPr>
        <w:t xml:space="preserve">were obtained </w:t>
      </w:r>
      <w:r w:rsidR="001D5428" w:rsidRPr="00EB3F80">
        <w:rPr>
          <w:rFonts w:eastAsia="Calibri"/>
          <w:sz w:val="26"/>
          <w:szCs w:val="26"/>
        </w:rPr>
        <w:t>from the publicly available data on the ENERGY STAR web site.</w:t>
      </w:r>
      <w:r w:rsidR="001D5428">
        <w:rPr>
          <w:rFonts w:eastAsia="Calibri"/>
          <w:sz w:val="26"/>
          <w:szCs w:val="26"/>
        </w:rPr>
        <w:t xml:space="preserve">  T</w:t>
      </w:r>
      <w:r w:rsidRPr="00EB3F80">
        <w:rPr>
          <w:rFonts w:eastAsia="Calibri"/>
          <w:sz w:val="26"/>
          <w:szCs w:val="26"/>
        </w:rPr>
        <w:t xml:space="preserve">he Commission has relied on values </w:t>
      </w:r>
      <w:r w:rsidR="001D5428">
        <w:rPr>
          <w:rFonts w:eastAsia="Calibri"/>
          <w:sz w:val="26"/>
          <w:szCs w:val="26"/>
        </w:rPr>
        <w:t>from</w:t>
      </w:r>
      <w:r w:rsidRPr="00EB3F80">
        <w:rPr>
          <w:rFonts w:eastAsia="Calibri"/>
          <w:sz w:val="26"/>
          <w:szCs w:val="26"/>
        </w:rPr>
        <w:t xml:space="preserve"> the </w:t>
      </w:r>
      <w:r w:rsidR="0085608F" w:rsidRPr="00EB3F80">
        <w:rPr>
          <w:rFonts w:eastAsia="Calibri"/>
          <w:sz w:val="26"/>
          <w:szCs w:val="26"/>
        </w:rPr>
        <w:t>ENERGY STAR</w:t>
      </w:r>
      <w:r w:rsidRPr="00EB3F80">
        <w:rPr>
          <w:rFonts w:eastAsia="Calibri"/>
          <w:sz w:val="26"/>
          <w:szCs w:val="26"/>
        </w:rPr>
        <w:t xml:space="preserve"> calculator </w:t>
      </w:r>
      <w:r w:rsidR="001D5428">
        <w:rPr>
          <w:rFonts w:eastAsia="Calibri"/>
          <w:sz w:val="26"/>
          <w:szCs w:val="26"/>
        </w:rPr>
        <w:t>for other a</w:t>
      </w:r>
      <w:r w:rsidR="00F406C5">
        <w:rPr>
          <w:rFonts w:eastAsia="Calibri"/>
          <w:sz w:val="26"/>
          <w:szCs w:val="26"/>
        </w:rPr>
        <w:t>dopted TRM values</w:t>
      </w:r>
      <w:r w:rsidRPr="00EB3F80">
        <w:rPr>
          <w:rFonts w:eastAsia="Calibri"/>
          <w:sz w:val="26"/>
          <w:szCs w:val="26"/>
        </w:rPr>
        <w:t xml:space="preserve">, such as the 3.0 </w:t>
      </w:r>
      <w:r w:rsidR="0004312F" w:rsidRPr="00EB3F80">
        <w:rPr>
          <w:rFonts w:eastAsia="Calibri"/>
          <w:sz w:val="26"/>
          <w:szCs w:val="26"/>
        </w:rPr>
        <w:t>HOU</w:t>
      </w:r>
      <w:r w:rsidRPr="00EB3F80">
        <w:rPr>
          <w:rFonts w:eastAsia="Calibri"/>
          <w:sz w:val="26"/>
          <w:szCs w:val="26"/>
        </w:rPr>
        <w:t xml:space="preserve"> for residential CFLs</w:t>
      </w:r>
      <w:r w:rsidR="009B4CCE">
        <w:rPr>
          <w:rFonts w:eastAsia="Calibri"/>
          <w:sz w:val="26"/>
          <w:szCs w:val="26"/>
        </w:rPr>
        <w:t xml:space="preserve">. </w:t>
      </w:r>
      <w:r w:rsidR="001D5428">
        <w:rPr>
          <w:rFonts w:eastAsia="Calibri"/>
          <w:sz w:val="26"/>
          <w:szCs w:val="26"/>
        </w:rPr>
        <w:t xml:space="preserve"> </w:t>
      </w:r>
      <w:r w:rsidRPr="00EB3F80">
        <w:rPr>
          <w:rFonts w:eastAsia="Calibri"/>
          <w:i/>
          <w:sz w:val="26"/>
          <w:szCs w:val="26"/>
        </w:rPr>
        <w:t xml:space="preserve"> </w:t>
      </w:r>
      <w:r w:rsidR="0085608F" w:rsidRPr="00EB3F80">
        <w:rPr>
          <w:rFonts w:eastAsia="Calibri"/>
          <w:i/>
          <w:sz w:val="26"/>
          <w:szCs w:val="26"/>
        </w:rPr>
        <w:t xml:space="preserve"> </w:t>
      </w:r>
    </w:p>
    <w:p w:rsidR="0004312F" w:rsidRPr="00F406C5" w:rsidRDefault="0004312F" w:rsidP="00EF68E7">
      <w:pPr>
        <w:spacing w:line="360" w:lineRule="auto"/>
        <w:ind w:firstLine="720"/>
        <w:rPr>
          <w:rFonts w:eastAsia="Calibri"/>
          <w:sz w:val="26"/>
          <w:szCs w:val="26"/>
        </w:rPr>
      </w:pPr>
    </w:p>
    <w:p w:rsidR="0004312F" w:rsidRPr="00EB3F80" w:rsidRDefault="00F406C5" w:rsidP="00EF68E7">
      <w:pPr>
        <w:spacing w:line="360" w:lineRule="auto"/>
        <w:ind w:firstLine="720"/>
        <w:rPr>
          <w:rFonts w:eastAsia="Calibri"/>
          <w:sz w:val="26"/>
          <w:szCs w:val="26"/>
        </w:rPr>
      </w:pPr>
      <w:r>
        <w:rPr>
          <w:rFonts w:eastAsia="Calibri"/>
          <w:sz w:val="26"/>
          <w:szCs w:val="26"/>
        </w:rPr>
        <w:t>In addition</w:t>
      </w:r>
      <w:r w:rsidR="00EA214B" w:rsidRPr="00EB3F80">
        <w:rPr>
          <w:rFonts w:eastAsia="Calibri"/>
          <w:sz w:val="26"/>
          <w:szCs w:val="26"/>
        </w:rPr>
        <w:t xml:space="preserve">, the SWE calculated the weighted average kWh deemed savings value for the TRM based upon the specific size, age and type of refrigerators/freezers actually removed during </w:t>
      </w:r>
      <w:r w:rsidR="003649CD" w:rsidRPr="00EB3F80">
        <w:rPr>
          <w:rFonts w:eastAsia="Calibri"/>
          <w:sz w:val="26"/>
          <w:szCs w:val="26"/>
        </w:rPr>
        <w:t>PY1</w:t>
      </w:r>
      <w:r w:rsidR="00EA214B" w:rsidRPr="00EB3F80">
        <w:rPr>
          <w:rFonts w:eastAsia="Calibri"/>
          <w:sz w:val="26"/>
          <w:szCs w:val="26"/>
        </w:rPr>
        <w:t xml:space="preserve"> in the EDCs</w:t>
      </w:r>
      <w:r w:rsidR="0085608F" w:rsidRPr="00EB3F80">
        <w:rPr>
          <w:rFonts w:eastAsia="Calibri"/>
          <w:sz w:val="26"/>
          <w:szCs w:val="26"/>
        </w:rPr>
        <w:t>’</w:t>
      </w:r>
      <w:r w:rsidR="00EA214B" w:rsidRPr="00EB3F80">
        <w:rPr>
          <w:rFonts w:eastAsia="Calibri"/>
          <w:sz w:val="26"/>
          <w:szCs w:val="26"/>
        </w:rPr>
        <w:t xml:space="preserve"> programs. </w:t>
      </w:r>
      <w:r>
        <w:rPr>
          <w:rFonts w:eastAsia="Calibri"/>
          <w:sz w:val="26"/>
          <w:szCs w:val="26"/>
        </w:rPr>
        <w:t xml:space="preserve"> </w:t>
      </w:r>
      <w:r w:rsidR="00EA214B" w:rsidRPr="00EB3F80">
        <w:rPr>
          <w:rFonts w:eastAsia="Calibri"/>
          <w:sz w:val="26"/>
          <w:szCs w:val="26"/>
        </w:rPr>
        <w:t xml:space="preserve">The SWE used data </w:t>
      </w:r>
      <w:r>
        <w:rPr>
          <w:rFonts w:eastAsia="Calibri"/>
          <w:sz w:val="26"/>
          <w:szCs w:val="26"/>
        </w:rPr>
        <w:t>from</w:t>
      </w:r>
      <w:r w:rsidR="00EA214B" w:rsidRPr="00EB3F80">
        <w:rPr>
          <w:rFonts w:eastAsia="Calibri"/>
          <w:sz w:val="26"/>
          <w:szCs w:val="26"/>
        </w:rPr>
        <w:t xml:space="preserve"> over 18,000 units that were removed by the EDC programs during </w:t>
      </w:r>
      <w:r w:rsidR="003649CD" w:rsidRPr="00EB3F80">
        <w:rPr>
          <w:rFonts w:eastAsia="Calibri"/>
          <w:sz w:val="26"/>
          <w:szCs w:val="26"/>
        </w:rPr>
        <w:t>PY1</w:t>
      </w:r>
      <w:r w:rsidR="00EA214B" w:rsidRPr="00EB3F80">
        <w:rPr>
          <w:rFonts w:eastAsia="Calibri"/>
          <w:sz w:val="26"/>
          <w:szCs w:val="26"/>
        </w:rPr>
        <w:t xml:space="preserve">. </w:t>
      </w:r>
      <w:r w:rsidR="0085608F" w:rsidRPr="00EB3F80">
        <w:rPr>
          <w:rFonts w:eastAsia="Calibri"/>
          <w:sz w:val="26"/>
          <w:szCs w:val="26"/>
        </w:rPr>
        <w:t xml:space="preserve"> </w:t>
      </w:r>
      <w:r w:rsidR="00EA214B" w:rsidRPr="00EB3F80">
        <w:rPr>
          <w:rFonts w:eastAsia="Calibri"/>
          <w:sz w:val="26"/>
          <w:szCs w:val="26"/>
        </w:rPr>
        <w:t>Thus</w:t>
      </w:r>
      <w:r w:rsidR="0085608F" w:rsidRPr="00EB3F80">
        <w:rPr>
          <w:rFonts w:eastAsia="Calibri"/>
          <w:sz w:val="26"/>
          <w:szCs w:val="26"/>
        </w:rPr>
        <w:t>,</w:t>
      </w:r>
      <w:r w:rsidR="00EA214B" w:rsidRPr="00EB3F80">
        <w:rPr>
          <w:rFonts w:eastAsia="Calibri"/>
          <w:sz w:val="26"/>
          <w:szCs w:val="26"/>
        </w:rPr>
        <w:t xml:space="preserve"> the deemed savings value</w:t>
      </w:r>
      <w:r>
        <w:rPr>
          <w:rFonts w:eastAsia="Calibri"/>
          <w:sz w:val="26"/>
          <w:szCs w:val="26"/>
        </w:rPr>
        <w:t>s</w:t>
      </w:r>
      <w:r w:rsidR="00EA214B" w:rsidRPr="00EB3F80">
        <w:rPr>
          <w:rFonts w:eastAsia="Calibri"/>
          <w:sz w:val="26"/>
          <w:szCs w:val="26"/>
        </w:rPr>
        <w:t xml:space="preserve"> calculated by the SWE for refrigerator/f</w:t>
      </w:r>
      <w:r w:rsidR="00DB37D9">
        <w:rPr>
          <w:rFonts w:eastAsia="Calibri"/>
          <w:sz w:val="26"/>
          <w:szCs w:val="26"/>
        </w:rPr>
        <w:t xml:space="preserve">reezer removal are </w:t>
      </w:r>
      <w:r>
        <w:rPr>
          <w:rFonts w:eastAsia="Calibri"/>
          <w:sz w:val="26"/>
          <w:szCs w:val="26"/>
        </w:rPr>
        <w:t xml:space="preserve">confirmed based on </w:t>
      </w:r>
      <w:proofErr w:type="spellStart"/>
      <w:r>
        <w:rPr>
          <w:rFonts w:eastAsia="Calibri"/>
          <w:sz w:val="26"/>
          <w:szCs w:val="26"/>
        </w:rPr>
        <w:t>EDC</w:t>
      </w:r>
      <w:r>
        <w:rPr>
          <w:rFonts w:eastAsia="Calibri"/>
          <w:sz w:val="26"/>
          <w:szCs w:val="26"/>
        </w:rPr>
        <w:noBreakHyphen/>
      </w:r>
      <w:r w:rsidR="00EA214B" w:rsidRPr="00EB3F80">
        <w:rPr>
          <w:rFonts w:eastAsia="Calibri"/>
          <w:sz w:val="26"/>
          <w:szCs w:val="26"/>
        </w:rPr>
        <w:t>specific</w:t>
      </w:r>
      <w:proofErr w:type="spellEnd"/>
      <w:r>
        <w:rPr>
          <w:rFonts w:eastAsia="Calibri"/>
          <w:sz w:val="26"/>
          <w:szCs w:val="26"/>
        </w:rPr>
        <w:t xml:space="preserve"> data, assuring the validity of the value used</w:t>
      </w:r>
      <w:r w:rsidR="00EA214B" w:rsidRPr="00EB3F80">
        <w:rPr>
          <w:rFonts w:eastAsia="Calibri"/>
          <w:sz w:val="26"/>
          <w:szCs w:val="26"/>
        </w:rPr>
        <w:t xml:space="preserve">. </w:t>
      </w:r>
      <w:r w:rsidR="0085608F" w:rsidRPr="00EB3F80">
        <w:rPr>
          <w:rFonts w:eastAsia="Calibri"/>
          <w:sz w:val="26"/>
          <w:szCs w:val="26"/>
        </w:rPr>
        <w:t xml:space="preserve"> </w:t>
      </w:r>
      <w:r w:rsidR="00FB4252">
        <w:rPr>
          <w:rFonts w:eastAsia="Calibri"/>
          <w:sz w:val="26"/>
          <w:szCs w:val="26"/>
        </w:rPr>
        <w:t>Furthermore, the Commission finds this change to be reasonable in that the savi</w:t>
      </w:r>
      <w:r w:rsidR="009F34FE">
        <w:rPr>
          <w:rFonts w:eastAsia="Calibri"/>
          <w:sz w:val="26"/>
          <w:szCs w:val="26"/>
        </w:rPr>
        <w:t xml:space="preserve">ngs value of 1,659 kWh is only 4% less than the 1,728 kWh in the 2010 TRM.  </w:t>
      </w:r>
    </w:p>
    <w:p w:rsidR="0004312F" w:rsidRPr="00EB3F80" w:rsidRDefault="0004312F" w:rsidP="00EF68E7">
      <w:pPr>
        <w:spacing w:line="360" w:lineRule="auto"/>
        <w:ind w:firstLine="720"/>
        <w:rPr>
          <w:rFonts w:eastAsia="Calibri"/>
          <w:sz w:val="26"/>
          <w:szCs w:val="26"/>
        </w:rPr>
      </w:pPr>
    </w:p>
    <w:p w:rsidR="003570F4" w:rsidRDefault="00FB4252" w:rsidP="00EF68E7">
      <w:pPr>
        <w:spacing w:line="360" w:lineRule="auto"/>
        <w:ind w:firstLine="720"/>
        <w:rPr>
          <w:rFonts w:eastAsia="Calibri"/>
          <w:sz w:val="26"/>
          <w:szCs w:val="26"/>
        </w:rPr>
      </w:pPr>
      <w:r>
        <w:rPr>
          <w:rFonts w:eastAsia="Calibri"/>
          <w:sz w:val="26"/>
          <w:szCs w:val="26"/>
        </w:rPr>
        <w:t>T</w:t>
      </w:r>
      <w:r w:rsidR="009F34FE">
        <w:rPr>
          <w:rFonts w:eastAsia="Calibri"/>
          <w:sz w:val="26"/>
          <w:szCs w:val="26"/>
        </w:rPr>
        <w:t xml:space="preserve">he </w:t>
      </w:r>
      <w:r>
        <w:rPr>
          <w:rFonts w:eastAsia="Calibri"/>
          <w:sz w:val="26"/>
          <w:szCs w:val="26"/>
        </w:rPr>
        <w:t>prior</w:t>
      </w:r>
      <w:r w:rsidR="009F34FE">
        <w:rPr>
          <w:rFonts w:eastAsia="Calibri"/>
          <w:sz w:val="26"/>
          <w:szCs w:val="26"/>
        </w:rPr>
        <w:t xml:space="preserve"> TRM d</w:t>
      </w:r>
      <w:r>
        <w:rPr>
          <w:rFonts w:eastAsia="Calibri"/>
          <w:sz w:val="26"/>
          <w:szCs w:val="26"/>
        </w:rPr>
        <w:t>id</w:t>
      </w:r>
      <w:r w:rsidR="009F34FE">
        <w:rPr>
          <w:rFonts w:eastAsia="Calibri"/>
          <w:sz w:val="26"/>
          <w:szCs w:val="26"/>
        </w:rPr>
        <w:t xml:space="preserve"> not have a deemed savings value for removal of a refrigerator or freezer that is then replaced with a new, more efficient unit.  </w:t>
      </w:r>
      <w:r w:rsidR="000F1A55">
        <w:rPr>
          <w:rFonts w:eastAsia="Calibri"/>
          <w:sz w:val="26"/>
          <w:szCs w:val="26"/>
        </w:rPr>
        <w:t>In many situations, the refrigerators have been removed and replaced with a new refrigerator, however, m</w:t>
      </w:r>
      <w:r w:rsidR="009F34FE">
        <w:rPr>
          <w:rFonts w:eastAsia="Calibri"/>
          <w:sz w:val="26"/>
          <w:szCs w:val="26"/>
        </w:rPr>
        <w:t xml:space="preserve">any of the EDCs have not reduced the deemed savings value of 1,728 kWh </w:t>
      </w:r>
      <w:r w:rsidR="000F1A55">
        <w:rPr>
          <w:rFonts w:eastAsia="Calibri"/>
          <w:sz w:val="26"/>
          <w:szCs w:val="26"/>
        </w:rPr>
        <w:t>to reflect this scenario</w:t>
      </w:r>
      <w:r w:rsidR="009F34FE">
        <w:rPr>
          <w:rFonts w:eastAsia="Calibri"/>
          <w:sz w:val="26"/>
          <w:szCs w:val="26"/>
        </w:rPr>
        <w:t xml:space="preserve">.  </w:t>
      </w:r>
      <w:r>
        <w:rPr>
          <w:rFonts w:eastAsia="Calibri"/>
          <w:sz w:val="26"/>
          <w:szCs w:val="26"/>
        </w:rPr>
        <w:t>The Commission finds that</w:t>
      </w:r>
      <w:r w:rsidR="009F34FE">
        <w:rPr>
          <w:rFonts w:eastAsia="Calibri"/>
          <w:sz w:val="26"/>
          <w:szCs w:val="26"/>
        </w:rPr>
        <w:t xml:space="preserve"> the deemed savings value for refrigerators/freezers that are removed then replaced with new equipment</w:t>
      </w:r>
      <w:r w:rsidR="002B7E2D">
        <w:rPr>
          <w:rFonts w:eastAsia="Calibri"/>
          <w:sz w:val="26"/>
          <w:szCs w:val="26"/>
        </w:rPr>
        <w:t xml:space="preserve"> must be added to accurately reflect all potential scenarios and the savings they produce</w:t>
      </w:r>
      <w:r w:rsidR="009F34FE">
        <w:rPr>
          <w:rFonts w:eastAsia="Calibri"/>
          <w:sz w:val="26"/>
          <w:szCs w:val="26"/>
        </w:rPr>
        <w:t xml:space="preserve">.  </w:t>
      </w:r>
      <w:r w:rsidR="002B7E2D">
        <w:rPr>
          <w:rFonts w:eastAsia="Calibri"/>
          <w:sz w:val="26"/>
          <w:szCs w:val="26"/>
        </w:rPr>
        <w:t xml:space="preserve">Furthermore, we find it significant that no Commenters provided alternative </w:t>
      </w:r>
      <w:r w:rsidR="009F34FE">
        <w:rPr>
          <w:rFonts w:eastAsia="Calibri"/>
          <w:sz w:val="26"/>
          <w:szCs w:val="26"/>
        </w:rPr>
        <w:t xml:space="preserve">calculations </w:t>
      </w:r>
      <w:r w:rsidR="002B7E2D">
        <w:rPr>
          <w:rFonts w:eastAsia="Calibri"/>
          <w:sz w:val="26"/>
          <w:szCs w:val="26"/>
        </w:rPr>
        <w:t>for</w:t>
      </w:r>
      <w:r w:rsidR="009F34FE">
        <w:rPr>
          <w:rFonts w:eastAsia="Calibri"/>
          <w:sz w:val="26"/>
          <w:szCs w:val="26"/>
        </w:rPr>
        <w:t xml:space="preserve"> deemed savings values for these two measures.  </w:t>
      </w:r>
    </w:p>
    <w:p w:rsidR="00EA214B" w:rsidRPr="00564279" w:rsidRDefault="009F34FE" w:rsidP="00EF68E7">
      <w:pPr>
        <w:spacing w:line="360" w:lineRule="auto"/>
        <w:ind w:firstLine="720"/>
        <w:rPr>
          <w:rFonts w:eastAsia="Calibri"/>
          <w:sz w:val="26"/>
          <w:szCs w:val="26"/>
        </w:rPr>
      </w:pPr>
      <w:r>
        <w:rPr>
          <w:rFonts w:eastAsia="Calibri"/>
          <w:sz w:val="26"/>
          <w:szCs w:val="26"/>
        </w:rPr>
        <w:lastRenderedPageBreak/>
        <w:t xml:space="preserve">For all of these reasons, the Commission adopts the deemed savings values </w:t>
      </w:r>
      <w:bookmarkStart w:id="1" w:name="OLE_LINK7"/>
      <w:bookmarkStart w:id="2" w:name="OLE_LINK8"/>
      <w:r>
        <w:rPr>
          <w:rFonts w:eastAsia="Calibri"/>
          <w:sz w:val="26"/>
          <w:szCs w:val="26"/>
        </w:rPr>
        <w:t xml:space="preserve">for refrigerator/freezer removal </w:t>
      </w:r>
      <w:bookmarkEnd w:id="1"/>
      <w:bookmarkEnd w:id="2"/>
      <w:r>
        <w:rPr>
          <w:rFonts w:eastAsia="Calibri"/>
          <w:sz w:val="26"/>
          <w:szCs w:val="26"/>
        </w:rPr>
        <w:t xml:space="preserve">and for refrigerator/freezer removal with replacement as </w:t>
      </w:r>
      <w:r w:rsidR="00AE3F66">
        <w:rPr>
          <w:rFonts w:eastAsia="Calibri"/>
          <w:sz w:val="26"/>
          <w:szCs w:val="26"/>
        </w:rPr>
        <w:t>provided for</w:t>
      </w:r>
      <w:r w:rsidRPr="00564279">
        <w:rPr>
          <w:rFonts w:eastAsia="Calibri"/>
          <w:sz w:val="26"/>
          <w:szCs w:val="26"/>
        </w:rPr>
        <w:t xml:space="preserve"> in the </w:t>
      </w:r>
      <w:r w:rsidR="00AE3F66">
        <w:rPr>
          <w:rFonts w:eastAsia="Calibri"/>
          <w:sz w:val="26"/>
          <w:szCs w:val="26"/>
        </w:rPr>
        <w:t>proposed</w:t>
      </w:r>
      <w:r w:rsidRPr="00564279">
        <w:rPr>
          <w:rFonts w:eastAsia="Calibri"/>
          <w:sz w:val="26"/>
          <w:szCs w:val="26"/>
        </w:rPr>
        <w:t xml:space="preserve"> 2011 TRM. </w:t>
      </w:r>
      <w:r w:rsidR="005F189A" w:rsidRPr="00564279">
        <w:rPr>
          <w:rFonts w:eastAsia="Calibri"/>
          <w:sz w:val="26"/>
          <w:szCs w:val="26"/>
        </w:rPr>
        <w:t xml:space="preserve"> The Commission</w:t>
      </w:r>
      <w:r w:rsidR="00096510" w:rsidRPr="00564279">
        <w:rPr>
          <w:rFonts w:eastAsia="Calibri"/>
          <w:sz w:val="26"/>
          <w:szCs w:val="26"/>
        </w:rPr>
        <w:t xml:space="preserve"> also</w:t>
      </w:r>
      <w:r w:rsidR="005F189A" w:rsidRPr="00564279">
        <w:rPr>
          <w:rFonts w:eastAsia="Calibri"/>
          <w:sz w:val="26"/>
          <w:szCs w:val="26"/>
        </w:rPr>
        <w:t xml:space="preserve"> </w:t>
      </w:r>
      <w:r w:rsidR="00AE3F66">
        <w:rPr>
          <w:rFonts w:eastAsia="Calibri"/>
          <w:sz w:val="26"/>
          <w:szCs w:val="26"/>
        </w:rPr>
        <w:t>adopts</w:t>
      </w:r>
      <w:r w:rsidR="00547C82" w:rsidRPr="00564279">
        <w:rPr>
          <w:rFonts w:eastAsia="Calibri"/>
          <w:sz w:val="26"/>
          <w:szCs w:val="26"/>
        </w:rPr>
        <w:t xml:space="preserve"> the addition of S</w:t>
      </w:r>
      <w:r w:rsidR="005F189A" w:rsidRPr="00564279">
        <w:rPr>
          <w:rFonts w:eastAsia="Calibri"/>
          <w:sz w:val="26"/>
          <w:szCs w:val="26"/>
        </w:rPr>
        <w:t>ection 2.22 to the TRM in order to provide a deemed savings value for refrigerators/freezers that are removed and then replaced with new equipment</w:t>
      </w:r>
      <w:r w:rsidR="00AE3F66">
        <w:rPr>
          <w:rFonts w:eastAsia="Calibri"/>
          <w:sz w:val="26"/>
          <w:szCs w:val="26"/>
        </w:rPr>
        <w:t xml:space="preserve"> as </w:t>
      </w:r>
      <w:r w:rsidR="005F189A" w:rsidRPr="00564279">
        <w:rPr>
          <w:rFonts w:eastAsia="Calibri"/>
          <w:sz w:val="26"/>
          <w:szCs w:val="26"/>
        </w:rPr>
        <w:t>an important and necessary addition to the TRM</w:t>
      </w:r>
      <w:r w:rsidR="003570F4" w:rsidRPr="00564279">
        <w:rPr>
          <w:rFonts w:eastAsia="Calibri"/>
          <w:sz w:val="26"/>
          <w:szCs w:val="26"/>
        </w:rPr>
        <w:t>.</w:t>
      </w:r>
    </w:p>
    <w:p w:rsidR="00EA214B" w:rsidRPr="00564279" w:rsidRDefault="00EA214B" w:rsidP="00EA214B">
      <w:pPr>
        <w:spacing w:line="360" w:lineRule="auto"/>
        <w:rPr>
          <w:rFonts w:eastAsia="Calibri"/>
          <w:sz w:val="26"/>
          <w:szCs w:val="26"/>
        </w:rPr>
      </w:pPr>
    </w:p>
    <w:p w:rsidR="00096510" w:rsidRPr="00564279" w:rsidRDefault="009F34FE" w:rsidP="002C4FB1">
      <w:pPr>
        <w:spacing w:line="360" w:lineRule="auto"/>
        <w:rPr>
          <w:rFonts w:eastAsia="Calibri"/>
          <w:sz w:val="26"/>
          <w:szCs w:val="26"/>
        </w:rPr>
      </w:pPr>
      <w:r w:rsidRPr="00564279">
        <w:rPr>
          <w:rFonts w:eastAsia="Calibri"/>
          <w:sz w:val="26"/>
          <w:szCs w:val="26"/>
        </w:rPr>
        <w:tab/>
      </w:r>
      <w:r w:rsidR="00096510" w:rsidRPr="00564279">
        <w:rPr>
          <w:rFonts w:eastAsia="Calibri"/>
          <w:sz w:val="26"/>
          <w:szCs w:val="26"/>
        </w:rPr>
        <w:t>The Commission</w:t>
      </w:r>
      <w:r w:rsidR="00AE3F66">
        <w:rPr>
          <w:rFonts w:eastAsia="Calibri"/>
          <w:sz w:val="26"/>
          <w:szCs w:val="26"/>
        </w:rPr>
        <w:t>, however, agrees with the Commenters that the additional refrigerator/freezer recycling reporting requirements contained in the 2011 proposal</w:t>
      </w:r>
      <w:r w:rsidR="002C4FB1">
        <w:rPr>
          <w:rFonts w:eastAsia="Calibri"/>
          <w:sz w:val="26"/>
          <w:szCs w:val="26"/>
        </w:rPr>
        <w:t xml:space="preserve"> are onerous and unnecessary and have removed them from the 2011 TRM update.  </w:t>
      </w:r>
      <w:r w:rsidR="00B159FD" w:rsidRPr="00564279">
        <w:rPr>
          <w:rFonts w:eastAsia="Calibri"/>
          <w:sz w:val="26"/>
          <w:szCs w:val="26"/>
        </w:rPr>
        <w:t xml:space="preserve">The Commission </w:t>
      </w:r>
      <w:r w:rsidR="002C4FB1">
        <w:rPr>
          <w:rFonts w:eastAsia="Calibri"/>
          <w:sz w:val="26"/>
          <w:szCs w:val="26"/>
        </w:rPr>
        <w:t xml:space="preserve">also </w:t>
      </w:r>
      <w:r w:rsidR="00B159FD" w:rsidRPr="00564279">
        <w:rPr>
          <w:rFonts w:eastAsia="Calibri"/>
          <w:sz w:val="26"/>
          <w:szCs w:val="26"/>
        </w:rPr>
        <w:t>agrees that S</w:t>
      </w:r>
      <w:r w:rsidR="00096510" w:rsidRPr="00564279">
        <w:rPr>
          <w:rFonts w:eastAsia="Calibri"/>
          <w:sz w:val="26"/>
          <w:szCs w:val="26"/>
        </w:rPr>
        <w:t xml:space="preserve">ection 2.29 in the </w:t>
      </w:r>
      <w:r w:rsidR="00AC12E8">
        <w:rPr>
          <w:rFonts w:eastAsia="Calibri"/>
          <w:sz w:val="26"/>
          <w:szCs w:val="26"/>
        </w:rPr>
        <w:t xml:space="preserve">proposed 2011 </w:t>
      </w:r>
      <w:r w:rsidR="00096510" w:rsidRPr="00564279">
        <w:rPr>
          <w:rFonts w:eastAsia="Calibri"/>
          <w:sz w:val="26"/>
          <w:szCs w:val="26"/>
        </w:rPr>
        <w:t>TRM d</w:t>
      </w:r>
      <w:r w:rsidR="00AC12E8">
        <w:rPr>
          <w:rFonts w:eastAsia="Calibri"/>
          <w:sz w:val="26"/>
          <w:szCs w:val="26"/>
        </w:rPr>
        <w:t>id</w:t>
      </w:r>
      <w:r w:rsidR="00B159FD" w:rsidRPr="00564279">
        <w:rPr>
          <w:rFonts w:eastAsia="Calibri"/>
          <w:sz w:val="26"/>
          <w:szCs w:val="26"/>
        </w:rPr>
        <w:t xml:space="preserve"> duplicate S</w:t>
      </w:r>
      <w:r w:rsidR="00096510" w:rsidRPr="00564279">
        <w:rPr>
          <w:rFonts w:eastAsia="Calibri"/>
          <w:sz w:val="26"/>
          <w:szCs w:val="26"/>
        </w:rPr>
        <w:t>ection 2.23</w:t>
      </w:r>
      <w:r w:rsidR="002C4FB1">
        <w:rPr>
          <w:rFonts w:eastAsia="Calibri"/>
          <w:sz w:val="26"/>
          <w:szCs w:val="26"/>
        </w:rPr>
        <w:t xml:space="preserve"> and has deleted Section 2.29 from the 2011 TRM update.</w:t>
      </w:r>
    </w:p>
    <w:p w:rsidR="005D582E" w:rsidRPr="00564279" w:rsidRDefault="005D582E" w:rsidP="006B5753">
      <w:pPr>
        <w:spacing w:line="360" w:lineRule="auto"/>
        <w:rPr>
          <w:rFonts w:eastAsia="Calibri"/>
          <w:sz w:val="26"/>
          <w:szCs w:val="26"/>
        </w:rPr>
      </w:pPr>
    </w:p>
    <w:p w:rsidR="00DC7A7D" w:rsidRPr="00564279" w:rsidRDefault="00DC7A7D" w:rsidP="00DC7A7D">
      <w:pPr>
        <w:spacing w:line="360" w:lineRule="auto"/>
        <w:rPr>
          <w:rFonts w:eastAsia="Calibri"/>
          <w:sz w:val="26"/>
          <w:szCs w:val="26"/>
        </w:rPr>
      </w:pPr>
      <w:r w:rsidRPr="00564279">
        <w:rPr>
          <w:rFonts w:eastAsia="Calibri"/>
          <w:sz w:val="26"/>
          <w:szCs w:val="26"/>
        </w:rPr>
        <w:tab/>
        <w:t>The Commission rejects FirstEnergy’s request to include a protocol for the replacement of a refrigerator/freezer with a standard efficiency unit.  The Commission believes that including such a measure would not be in keeping with the objective of Act 129.  Specifically, the language within Act</w:t>
      </w:r>
      <w:r w:rsidR="002C4FB1">
        <w:rPr>
          <w:rFonts w:eastAsia="Calibri"/>
          <w:sz w:val="26"/>
          <w:szCs w:val="26"/>
        </w:rPr>
        <w:t xml:space="preserve"> 129</w:t>
      </w:r>
      <w:r w:rsidRPr="00564279">
        <w:rPr>
          <w:rFonts w:eastAsia="Calibri"/>
          <w:sz w:val="26"/>
          <w:szCs w:val="26"/>
        </w:rPr>
        <w:t xml:space="preserve"> states that the Commission shall adopt a program “to require electric distribution companies to adopt and implement cost-effective energy efficiency and conservation plans to reduce energy demand and consumption…”  See 66 P.S. §§ 2806.1(a).  The replacement of a unit with a standard efficiency unit does not adequately reflect a reduction in energy demand or consumption.  </w:t>
      </w:r>
    </w:p>
    <w:p w:rsidR="00DC7A7D" w:rsidRPr="00564279" w:rsidRDefault="00DC7A7D" w:rsidP="00DC7A7D">
      <w:pPr>
        <w:spacing w:line="360" w:lineRule="auto"/>
        <w:rPr>
          <w:rFonts w:eastAsia="Calibri"/>
          <w:sz w:val="26"/>
          <w:szCs w:val="26"/>
        </w:rPr>
      </w:pPr>
    </w:p>
    <w:p w:rsidR="00DC7A7D" w:rsidRPr="00DD116E" w:rsidRDefault="00DC7A7D" w:rsidP="00DC7A7D">
      <w:pPr>
        <w:spacing w:line="360" w:lineRule="auto"/>
        <w:rPr>
          <w:rFonts w:eastAsia="Calibri"/>
          <w:sz w:val="26"/>
          <w:szCs w:val="26"/>
        </w:rPr>
      </w:pPr>
      <w:r w:rsidRPr="00564279">
        <w:rPr>
          <w:rFonts w:eastAsia="Calibri"/>
          <w:sz w:val="26"/>
          <w:szCs w:val="26"/>
        </w:rPr>
        <w:tab/>
        <w:t>The Commission would like to note that the proposed 2011 TRM contains a new refrigerator/freezer protocol for replacement with an ENERGY STAR unit.  This protocol allows EDCs to claim 1,205 kWh of savings for each refrigerator/freezer removed and replaced with an ENERGY STAR model.  The Commission believes that this measure is more appropriate in keeping with the mission of Act 129 in increasing energy efficiency and reducing consumption</w:t>
      </w:r>
      <w:r w:rsidR="00DD116E" w:rsidRPr="00564279">
        <w:rPr>
          <w:rFonts w:eastAsia="Calibri"/>
          <w:sz w:val="26"/>
          <w:szCs w:val="26"/>
        </w:rPr>
        <w:t xml:space="preserve">.  This measure is also consistent with other TRM measures </w:t>
      </w:r>
      <w:r w:rsidR="00DD116E" w:rsidRPr="00564279">
        <w:rPr>
          <w:rFonts w:eastAsia="Calibri"/>
          <w:sz w:val="26"/>
          <w:szCs w:val="26"/>
        </w:rPr>
        <w:lastRenderedPageBreak/>
        <w:t xml:space="preserve">designed to incent customers to select high efficiency appliances </w:t>
      </w:r>
      <w:r w:rsidR="00DD116E" w:rsidRPr="00CB4ED6">
        <w:rPr>
          <w:rFonts w:eastAsia="Calibri"/>
          <w:sz w:val="26"/>
          <w:szCs w:val="26"/>
        </w:rPr>
        <w:t>rather than</w:t>
      </w:r>
      <w:r w:rsidR="00DD116E" w:rsidRPr="00564279">
        <w:rPr>
          <w:rFonts w:eastAsia="Calibri"/>
          <w:sz w:val="26"/>
          <w:szCs w:val="26"/>
        </w:rPr>
        <w:t xml:space="preserve"> standard efficiency appliances.</w:t>
      </w:r>
      <w:r w:rsidR="00DD116E">
        <w:rPr>
          <w:rFonts w:eastAsia="Calibri"/>
          <w:sz w:val="26"/>
          <w:szCs w:val="26"/>
        </w:rPr>
        <w:t xml:space="preserve">  </w:t>
      </w:r>
    </w:p>
    <w:p w:rsidR="00223092" w:rsidRPr="00EB3F80" w:rsidRDefault="00223092" w:rsidP="006B5753">
      <w:pPr>
        <w:spacing w:line="360" w:lineRule="auto"/>
        <w:rPr>
          <w:color w:val="FF0000"/>
          <w:sz w:val="26"/>
          <w:szCs w:val="26"/>
        </w:rPr>
      </w:pPr>
    </w:p>
    <w:p w:rsidR="007C320A" w:rsidRPr="005D582E" w:rsidRDefault="007C320A" w:rsidP="006B5753">
      <w:pPr>
        <w:spacing w:line="360" w:lineRule="auto"/>
        <w:rPr>
          <w:b/>
          <w:sz w:val="26"/>
          <w:szCs w:val="26"/>
        </w:rPr>
      </w:pPr>
      <w:r w:rsidRPr="005D582E">
        <w:rPr>
          <w:b/>
          <w:sz w:val="26"/>
          <w:szCs w:val="26"/>
        </w:rPr>
        <w:t xml:space="preserve">H.  </w:t>
      </w:r>
      <w:r w:rsidR="00CB4ED6">
        <w:rPr>
          <w:b/>
          <w:sz w:val="26"/>
          <w:szCs w:val="26"/>
        </w:rPr>
        <w:tab/>
      </w:r>
      <w:r w:rsidRPr="005D582E">
        <w:rPr>
          <w:b/>
          <w:sz w:val="26"/>
          <w:szCs w:val="26"/>
        </w:rPr>
        <w:t>Low</w:t>
      </w:r>
      <w:r w:rsidR="00B53E3A" w:rsidRPr="005D582E">
        <w:rPr>
          <w:b/>
          <w:sz w:val="26"/>
          <w:szCs w:val="26"/>
        </w:rPr>
        <w:t xml:space="preserve"> </w:t>
      </w:r>
      <w:r w:rsidRPr="005D582E">
        <w:rPr>
          <w:b/>
          <w:sz w:val="26"/>
          <w:szCs w:val="26"/>
        </w:rPr>
        <w:t>Income Baseline</w:t>
      </w:r>
    </w:p>
    <w:p w:rsidR="007C320A" w:rsidRPr="005D582E" w:rsidRDefault="007C320A" w:rsidP="006B5753">
      <w:pPr>
        <w:spacing w:line="360" w:lineRule="auto"/>
        <w:rPr>
          <w:b/>
          <w:sz w:val="26"/>
          <w:szCs w:val="26"/>
        </w:rPr>
      </w:pPr>
    </w:p>
    <w:p w:rsidR="00844100" w:rsidRDefault="009F34FE">
      <w:pPr>
        <w:spacing w:line="360" w:lineRule="auto"/>
        <w:ind w:firstLine="720"/>
        <w:rPr>
          <w:sz w:val="26"/>
          <w:szCs w:val="26"/>
        </w:rPr>
      </w:pPr>
      <w:r w:rsidRPr="005D582E">
        <w:rPr>
          <w:sz w:val="26"/>
          <w:szCs w:val="26"/>
        </w:rPr>
        <w:t>The TRM includes baselines from which to calculate savings for implemented energy efficiency measures.  Baselines are typically based on previous studies or industry agreed upon data that use the average across all income groups for the specific sector</w:t>
      </w:r>
      <w:r w:rsidR="00CB4ED6">
        <w:rPr>
          <w:sz w:val="26"/>
          <w:szCs w:val="26"/>
        </w:rPr>
        <w:t>,</w:t>
      </w:r>
      <w:r w:rsidRPr="005D582E">
        <w:rPr>
          <w:sz w:val="26"/>
          <w:szCs w:val="26"/>
        </w:rPr>
        <w:t xml:space="preserve"> such as residential or C&amp;I</w:t>
      </w:r>
      <w:r w:rsidR="00CB4ED6">
        <w:rPr>
          <w:sz w:val="26"/>
          <w:szCs w:val="26"/>
        </w:rPr>
        <w:t>.</w:t>
      </w:r>
    </w:p>
    <w:p w:rsidR="00150821" w:rsidRPr="005D582E" w:rsidRDefault="00150821" w:rsidP="00150821">
      <w:pPr>
        <w:spacing w:line="360" w:lineRule="auto"/>
        <w:rPr>
          <w:b/>
          <w:sz w:val="26"/>
          <w:szCs w:val="26"/>
        </w:rPr>
      </w:pPr>
    </w:p>
    <w:p w:rsidR="00844100" w:rsidRPr="00CB4ED6" w:rsidRDefault="00150821" w:rsidP="0052550D">
      <w:pPr>
        <w:pStyle w:val="ListParagraph"/>
        <w:numPr>
          <w:ilvl w:val="0"/>
          <w:numId w:val="25"/>
        </w:numPr>
        <w:spacing w:line="360" w:lineRule="auto"/>
        <w:ind w:left="1440" w:hanging="720"/>
        <w:rPr>
          <w:b/>
          <w:sz w:val="26"/>
          <w:szCs w:val="26"/>
        </w:rPr>
      </w:pPr>
      <w:r w:rsidRPr="00CB4ED6">
        <w:rPr>
          <w:b/>
          <w:sz w:val="26"/>
          <w:szCs w:val="26"/>
        </w:rPr>
        <w:t>Comments</w:t>
      </w:r>
    </w:p>
    <w:p w:rsidR="00150821" w:rsidRPr="005D582E" w:rsidRDefault="00150821" w:rsidP="00150821">
      <w:pPr>
        <w:spacing w:line="360" w:lineRule="auto"/>
        <w:rPr>
          <w:sz w:val="26"/>
          <w:szCs w:val="26"/>
        </w:rPr>
      </w:pPr>
    </w:p>
    <w:p w:rsidR="00844100" w:rsidRDefault="00150821">
      <w:pPr>
        <w:spacing w:line="360" w:lineRule="auto"/>
        <w:ind w:firstLine="720"/>
        <w:rPr>
          <w:sz w:val="26"/>
          <w:szCs w:val="26"/>
        </w:rPr>
      </w:pPr>
      <w:r w:rsidRPr="005D582E">
        <w:rPr>
          <w:sz w:val="26"/>
          <w:szCs w:val="26"/>
        </w:rPr>
        <w:t>The OCA commente</w:t>
      </w:r>
      <w:r w:rsidR="00D90BA3">
        <w:rPr>
          <w:sz w:val="26"/>
          <w:szCs w:val="26"/>
        </w:rPr>
        <w:t>d</w:t>
      </w:r>
      <w:r w:rsidR="00103329">
        <w:rPr>
          <w:sz w:val="26"/>
          <w:szCs w:val="26"/>
        </w:rPr>
        <w:t xml:space="preserve">, with agreement from </w:t>
      </w:r>
      <w:proofErr w:type="gramStart"/>
      <w:r w:rsidR="00103329">
        <w:rPr>
          <w:sz w:val="26"/>
          <w:szCs w:val="26"/>
        </w:rPr>
        <w:t>Citizen,</w:t>
      </w:r>
      <w:r w:rsidR="00082382">
        <w:rPr>
          <w:sz w:val="26"/>
          <w:szCs w:val="26"/>
        </w:rPr>
        <w:t xml:space="preserve"> that</w:t>
      </w:r>
      <w:proofErr w:type="gramEnd"/>
      <w:r w:rsidRPr="005D582E">
        <w:rPr>
          <w:sz w:val="26"/>
          <w:szCs w:val="26"/>
        </w:rPr>
        <w:t xml:space="preserve"> consideration should be given </w:t>
      </w:r>
      <w:r w:rsidR="00082382">
        <w:rPr>
          <w:sz w:val="26"/>
          <w:szCs w:val="26"/>
        </w:rPr>
        <w:t>to develop a</w:t>
      </w:r>
      <w:r w:rsidRPr="005D582E">
        <w:rPr>
          <w:sz w:val="26"/>
          <w:szCs w:val="26"/>
        </w:rPr>
        <w:t xml:space="preserve"> separate set of baseline data for the low</w:t>
      </w:r>
      <w:r w:rsidR="00223092" w:rsidRPr="005D582E">
        <w:rPr>
          <w:sz w:val="26"/>
          <w:szCs w:val="26"/>
        </w:rPr>
        <w:t>-</w:t>
      </w:r>
      <w:r w:rsidRPr="005D582E">
        <w:rPr>
          <w:sz w:val="26"/>
          <w:szCs w:val="26"/>
        </w:rPr>
        <w:t>income residential sector.</w:t>
      </w:r>
      <w:r w:rsidR="00103329">
        <w:rPr>
          <w:sz w:val="26"/>
          <w:szCs w:val="26"/>
        </w:rPr>
        <w:t xml:space="preserve"> </w:t>
      </w:r>
      <w:r w:rsidR="00082382">
        <w:rPr>
          <w:sz w:val="26"/>
          <w:szCs w:val="26"/>
        </w:rPr>
        <w:t xml:space="preserve"> </w:t>
      </w:r>
      <w:proofErr w:type="gramStart"/>
      <w:r w:rsidR="00103329">
        <w:rPr>
          <w:sz w:val="26"/>
          <w:szCs w:val="26"/>
        </w:rPr>
        <w:t xml:space="preserve">(Citizen </w:t>
      </w:r>
      <w:r w:rsidR="00082382">
        <w:rPr>
          <w:sz w:val="26"/>
          <w:szCs w:val="26"/>
        </w:rPr>
        <w:t>R</w:t>
      </w:r>
      <w:r w:rsidR="00103329">
        <w:rPr>
          <w:sz w:val="26"/>
          <w:szCs w:val="26"/>
        </w:rPr>
        <w:t xml:space="preserve">eply </w:t>
      </w:r>
      <w:r w:rsidR="00082382">
        <w:rPr>
          <w:sz w:val="26"/>
          <w:szCs w:val="26"/>
        </w:rPr>
        <w:t>C</w:t>
      </w:r>
      <w:r w:rsidR="00103329">
        <w:rPr>
          <w:sz w:val="26"/>
          <w:szCs w:val="26"/>
        </w:rPr>
        <w:t xml:space="preserve">omments at </w:t>
      </w:r>
      <w:r w:rsidR="00DF4913">
        <w:rPr>
          <w:sz w:val="26"/>
          <w:szCs w:val="26"/>
        </w:rPr>
        <w:t>2</w:t>
      </w:r>
      <w:r w:rsidR="00082382">
        <w:rPr>
          <w:sz w:val="26"/>
          <w:szCs w:val="26"/>
        </w:rPr>
        <w:t xml:space="preserve"> and </w:t>
      </w:r>
      <w:r w:rsidR="00DF4913">
        <w:rPr>
          <w:sz w:val="26"/>
          <w:szCs w:val="26"/>
        </w:rPr>
        <w:t xml:space="preserve">3, </w:t>
      </w:r>
      <w:r w:rsidR="00082382">
        <w:rPr>
          <w:sz w:val="26"/>
          <w:szCs w:val="26"/>
        </w:rPr>
        <w:t xml:space="preserve">and </w:t>
      </w:r>
      <w:r w:rsidR="00DF4913">
        <w:rPr>
          <w:sz w:val="26"/>
          <w:szCs w:val="26"/>
        </w:rPr>
        <w:t xml:space="preserve">OCA </w:t>
      </w:r>
      <w:r w:rsidR="00082382">
        <w:rPr>
          <w:sz w:val="26"/>
          <w:szCs w:val="26"/>
        </w:rPr>
        <w:t>C</w:t>
      </w:r>
      <w:r w:rsidR="00DF4913">
        <w:rPr>
          <w:sz w:val="26"/>
          <w:szCs w:val="26"/>
        </w:rPr>
        <w:t>omments at 4</w:t>
      </w:r>
      <w:r w:rsidR="00082382">
        <w:rPr>
          <w:sz w:val="26"/>
          <w:szCs w:val="26"/>
        </w:rPr>
        <w:t>.</w:t>
      </w:r>
      <w:r w:rsidR="00DF4913">
        <w:rPr>
          <w:sz w:val="26"/>
          <w:szCs w:val="26"/>
        </w:rPr>
        <w:t>)</w:t>
      </w:r>
      <w:proofErr w:type="gramEnd"/>
      <w:r w:rsidRPr="005D582E">
        <w:rPr>
          <w:sz w:val="26"/>
          <w:szCs w:val="26"/>
        </w:rPr>
        <w:t xml:space="preserve">  </w:t>
      </w:r>
      <w:r w:rsidR="00082382">
        <w:rPr>
          <w:sz w:val="26"/>
          <w:szCs w:val="26"/>
        </w:rPr>
        <w:t xml:space="preserve">The OCA </w:t>
      </w:r>
      <w:r w:rsidRPr="005D582E">
        <w:rPr>
          <w:sz w:val="26"/>
          <w:szCs w:val="26"/>
        </w:rPr>
        <w:t>Further</w:t>
      </w:r>
      <w:r w:rsidR="00082382">
        <w:rPr>
          <w:sz w:val="26"/>
          <w:szCs w:val="26"/>
        </w:rPr>
        <w:t xml:space="preserve"> noted that</w:t>
      </w:r>
      <w:r w:rsidRPr="005D582E">
        <w:rPr>
          <w:sz w:val="26"/>
          <w:szCs w:val="26"/>
        </w:rPr>
        <w:t xml:space="preserve"> the 2011 TRM appears to have given specific attention to the low</w:t>
      </w:r>
      <w:r w:rsidR="00B53E3A" w:rsidRPr="005D582E">
        <w:rPr>
          <w:sz w:val="26"/>
          <w:szCs w:val="26"/>
        </w:rPr>
        <w:t xml:space="preserve"> </w:t>
      </w:r>
      <w:r w:rsidRPr="005D582E">
        <w:rPr>
          <w:sz w:val="26"/>
          <w:szCs w:val="26"/>
        </w:rPr>
        <w:t>income baseline for the refrigerator/freezer recycling and replacement measure, but it is unclear if other measure</w:t>
      </w:r>
      <w:r w:rsidR="00223092" w:rsidRPr="005D582E">
        <w:rPr>
          <w:sz w:val="26"/>
          <w:szCs w:val="26"/>
        </w:rPr>
        <w:t>s incorporate deployment in low-</w:t>
      </w:r>
      <w:r w:rsidRPr="005D582E">
        <w:rPr>
          <w:sz w:val="26"/>
          <w:szCs w:val="26"/>
        </w:rPr>
        <w:t>income households</w:t>
      </w:r>
      <w:r w:rsidR="00870F85" w:rsidRPr="005D582E">
        <w:rPr>
          <w:sz w:val="26"/>
          <w:szCs w:val="26"/>
        </w:rPr>
        <w:t>.</w:t>
      </w:r>
      <w:r w:rsidRPr="005D582E">
        <w:rPr>
          <w:sz w:val="26"/>
          <w:szCs w:val="26"/>
        </w:rPr>
        <w:t xml:space="preserve"> </w:t>
      </w:r>
      <w:r w:rsidR="00082382">
        <w:rPr>
          <w:sz w:val="26"/>
          <w:szCs w:val="26"/>
        </w:rPr>
        <w:t xml:space="preserve"> </w:t>
      </w:r>
      <w:r w:rsidR="00870F85" w:rsidRPr="005D582E">
        <w:rPr>
          <w:sz w:val="26"/>
          <w:szCs w:val="26"/>
        </w:rPr>
        <w:t xml:space="preserve">The </w:t>
      </w:r>
      <w:r w:rsidRPr="005D582E">
        <w:rPr>
          <w:sz w:val="26"/>
          <w:szCs w:val="26"/>
        </w:rPr>
        <w:t>OCA state</w:t>
      </w:r>
      <w:r w:rsidR="00870F85" w:rsidRPr="005D582E">
        <w:rPr>
          <w:sz w:val="26"/>
          <w:szCs w:val="26"/>
        </w:rPr>
        <w:t>d</w:t>
      </w:r>
      <w:r w:rsidRPr="005D582E">
        <w:rPr>
          <w:sz w:val="26"/>
          <w:szCs w:val="26"/>
        </w:rPr>
        <w:t xml:space="preserve"> that consideration should be given to low</w:t>
      </w:r>
      <w:r w:rsidR="00B53E3A" w:rsidRPr="005D582E">
        <w:rPr>
          <w:sz w:val="26"/>
          <w:szCs w:val="26"/>
        </w:rPr>
        <w:t xml:space="preserve"> </w:t>
      </w:r>
      <w:r w:rsidRPr="005D582E">
        <w:rPr>
          <w:sz w:val="26"/>
          <w:szCs w:val="26"/>
        </w:rPr>
        <w:t>income baseline data for other measures</w:t>
      </w:r>
      <w:r w:rsidR="007E7C1B" w:rsidRPr="005D582E">
        <w:rPr>
          <w:sz w:val="26"/>
          <w:szCs w:val="26"/>
        </w:rPr>
        <w:t>,</w:t>
      </w:r>
      <w:r w:rsidRPr="005D582E">
        <w:rPr>
          <w:sz w:val="26"/>
          <w:szCs w:val="26"/>
        </w:rPr>
        <w:t xml:space="preserve"> in addition to segmentation of the low</w:t>
      </w:r>
      <w:r w:rsidR="00D90BA3">
        <w:rPr>
          <w:sz w:val="26"/>
          <w:szCs w:val="26"/>
        </w:rPr>
        <w:t>-</w:t>
      </w:r>
      <w:r w:rsidRPr="005D582E">
        <w:rPr>
          <w:sz w:val="26"/>
          <w:szCs w:val="26"/>
        </w:rPr>
        <w:t>income baseline for determining savings for low</w:t>
      </w:r>
      <w:r w:rsidR="00223092" w:rsidRPr="005D582E">
        <w:rPr>
          <w:sz w:val="26"/>
          <w:szCs w:val="26"/>
        </w:rPr>
        <w:t>-</w:t>
      </w:r>
      <w:r w:rsidRPr="005D582E">
        <w:rPr>
          <w:sz w:val="26"/>
          <w:szCs w:val="26"/>
        </w:rPr>
        <w:t>income programs</w:t>
      </w:r>
      <w:r w:rsidR="00870F85" w:rsidRPr="005D582E">
        <w:rPr>
          <w:sz w:val="26"/>
          <w:szCs w:val="26"/>
        </w:rPr>
        <w:t>.</w:t>
      </w:r>
      <w:r w:rsidR="00082382">
        <w:rPr>
          <w:sz w:val="26"/>
          <w:szCs w:val="26"/>
        </w:rPr>
        <w:t xml:space="preserve"> </w:t>
      </w:r>
      <w:r w:rsidRPr="005D582E">
        <w:rPr>
          <w:sz w:val="26"/>
          <w:szCs w:val="26"/>
        </w:rPr>
        <w:t xml:space="preserve"> </w:t>
      </w:r>
      <w:proofErr w:type="gramStart"/>
      <w:r w:rsidRPr="005D582E">
        <w:rPr>
          <w:sz w:val="26"/>
          <w:szCs w:val="26"/>
        </w:rPr>
        <w:t xml:space="preserve">(OCA </w:t>
      </w:r>
      <w:r w:rsidR="00082382">
        <w:rPr>
          <w:sz w:val="26"/>
          <w:szCs w:val="26"/>
        </w:rPr>
        <w:t>C</w:t>
      </w:r>
      <w:r w:rsidR="00870F85" w:rsidRPr="005D582E">
        <w:rPr>
          <w:sz w:val="26"/>
          <w:szCs w:val="26"/>
        </w:rPr>
        <w:t xml:space="preserve">omments </w:t>
      </w:r>
      <w:r w:rsidRPr="005D582E">
        <w:rPr>
          <w:sz w:val="26"/>
          <w:szCs w:val="26"/>
        </w:rPr>
        <w:t>at 4</w:t>
      </w:r>
      <w:r w:rsidR="00082382">
        <w:rPr>
          <w:sz w:val="26"/>
          <w:szCs w:val="26"/>
        </w:rPr>
        <w:t>.</w:t>
      </w:r>
      <w:r w:rsidRPr="005D582E">
        <w:rPr>
          <w:sz w:val="26"/>
          <w:szCs w:val="26"/>
        </w:rPr>
        <w:t>)</w:t>
      </w:r>
      <w:proofErr w:type="gramEnd"/>
      <w:r w:rsidRPr="005D582E">
        <w:rPr>
          <w:sz w:val="26"/>
          <w:szCs w:val="26"/>
        </w:rPr>
        <w:t xml:space="preserve">  The OCA asserted that the use of baseline data to identify deemed savings that does not sufficient</w:t>
      </w:r>
      <w:r w:rsidR="00223092" w:rsidRPr="005D582E">
        <w:rPr>
          <w:sz w:val="26"/>
          <w:szCs w:val="26"/>
        </w:rPr>
        <w:t>ly account for the needs of low-</w:t>
      </w:r>
      <w:r w:rsidRPr="005D582E">
        <w:rPr>
          <w:sz w:val="26"/>
          <w:szCs w:val="26"/>
        </w:rPr>
        <w:t>income household</w:t>
      </w:r>
      <w:r w:rsidR="00870F85" w:rsidRPr="005D582E">
        <w:rPr>
          <w:sz w:val="26"/>
          <w:szCs w:val="26"/>
        </w:rPr>
        <w:t>s</w:t>
      </w:r>
      <w:r w:rsidRPr="005D582E">
        <w:rPr>
          <w:sz w:val="26"/>
          <w:szCs w:val="26"/>
        </w:rPr>
        <w:t xml:space="preserve"> could create inadequate incentive levels or could lead to the rejectio</w:t>
      </w:r>
      <w:r w:rsidR="009F34FE" w:rsidRPr="005D582E">
        <w:rPr>
          <w:sz w:val="26"/>
          <w:szCs w:val="26"/>
        </w:rPr>
        <w:t>n of certain program measures for low</w:t>
      </w:r>
      <w:r w:rsidR="00223092" w:rsidRPr="005D582E">
        <w:rPr>
          <w:sz w:val="26"/>
          <w:szCs w:val="26"/>
        </w:rPr>
        <w:t>-</w:t>
      </w:r>
      <w:r w:rsidR="009F34FE" w:rsidRPr="005D582E">
        <w:rPr>
          <w:sz w:val="26"/>
          <w:szCs w:val="26"/>
        </w:rPr>
        <w:t>income programs.  The OCA noted that savings from certain measures may be quite different when</w:t>
      </w:r>
      <w:r w:rsidR="00223092" w:rsidRPr="005D582E">
        <w:rPr>
          <w:sz w:val="26"/>
          <w:szCs w:val="26"/>
        </w:rPr>
        <w:t xml:space="preserve"> the measure</w:t>
      </w:r>
      <w:r w:rsidR="00325E20">
        <w:rPr>
          <w:sz w:val="26"/>
          <w:szCs w:val="26"/>
        </w:rPr>
        <w:t>s</w:t>
      </w:r>
      <w:r w:rsidR="00223092" w:rsidRPr="005D582E">
        <w:rPr>
          <w:sz w:val="26"/>
          <w:szCs w:val="26"/>
        </w:rPr>
        <w:t xml:space="preserve"> </w:t>
      </w:r>
      <w:r w:rsidR="00325E20">
        <w:rPr>
          <w:sz w:val="26"/>
          <w:szCs w:val="26"/>
        </w:rPr>
        <w:t>are</w:t>
      </w:r>
      <w:r w:rsidR="00223092" w:rsidRPr="005D582E">
        <w:rPr>
          <w:sz w:val="26"/>
          <w:szCs w:val="26"/>
        </w:rPr>
        <w:t xml:space="preserve"> deployed in low-</w:t>
      </w:r>
      <w:r w:rsidR="009F34FE" w:rsidRPr="005D582E">
        <w:rPr>
          <w:sz w:val="26"/>
          <w:szCs w:val="26"/>
        </w:rPr>
        <w:t xml:space="preserve">income households than when the same measures are deployed in average households.  </w:t>
      </w:r>
      <w:proofErr w:type="spellStart"/>
      <w:r w:rsidR="009F34FE" w:rsidRPr="005D582E">
        <w:rPr>
          <w:sz w:val="26"/>
          <w:szCs w:val="26"/>
        </w:rPr>
        <w:t>Low</w:t>
      </w:r>
      <w:r w:rsidR="00D90BA3">
        <w:rPr>
          <w:sz w:val="26"/>
          <w:szCs w:val="26"/>
        </w:rPr>
        <w:noBreakHyphen/>
      </w:r>
      <w:r w:rsidR="009F34FE" w:rsidRPr="005D582E">
        <w:rPr>
          <w:sz w:val="26"/>
          <w:szCs w:val="26"/>
        </w:rPr>
        <w:t>income</w:t>
      </w:r>
      <w:proofErr w:type="spellEnd"/>
      <w:r w:rsidR="009F34FE" w:rsidRPr="005D582E">
        <w:rPr>
          <w:sz w:val="26"/>
          <w:szCs w:val="26"/>
        </w:rPr>
        <w:t xml:space="preserve"> programs have unique challenges, and the OCA submitted that it is important to have baseline data specific to the low-income population to ensure that an appropriate level of deemed savings is included in the TRM and to avoid the possibility </w:t>
      </w:r>
      <w:r w:rsidR="009F34FE" w:rsidRPr="005D582E">
        <w:rPr>
          <w:sz w:val="26"/>
          <w:szCs w:val="26"/>
        </w:rPr>
        <w:lastRenderedPageBreak/>
        <w:t xml:space="preserve">that low-income program measures’ savings are perceived </w:t>
      </w:r>
      <w:r w:rsidR="00203302">
        <w:rPr>
          <w:sz w:val="26"/>
          <w:szCs w:val="26"/>
        </w:rPr>
        <w:t>as not being</w:t>
      </w:r>
      <w:r w:rsidR="009F34FE" w:rsidRPr="005D582E">
        <w:rPr>
          <w:sz w:val="26"/>
          <w:szCs w:val="26"/>
        </w:rPr>
        <w:t xml:space="preserve"> cost-effective.</w:t>
      </w:r>
      <w:r w:rsidR="00D90BA3">
        <w:rPr>
          <w:sz w:val="26"/>
          <w:szCs w:val="26"/>
        </w:rPr>
        <w:t xml:space="preserve"> </w:t>
      </w:r>
      <w:r w:rsidR="009F34FE" w:rsidRPr="005D582E">
        <w:rPr>
          <w:sz w:val="26"/>
          <w:szCs w:val="26"/>
        </w:rPr>
        <w:t xml:space="preserve"> </w:t>
      </w:r>
      <w:proofErr w:type="gramStart"/>
      <w:r w:rsidR="009F34FE" w:rsidRPr="005D582E">
        <w:rPr>
          <w:sz w:val="26"/>
          <w:szCs w:val="26"/>
        </w:rPr>
        <w:t xml:space="preserve">(OCA </w:t>
      </w:r>
      <w:r w:rsidR="00D90BA3">
        <w:rPr>
          <w:sz w:val="26"/>
          <w:szCs w:val="26"/>
        </w:rPr>
        <w:t>C</w:t>
      </w:r>
      <w:r w:rsidR="009F34FE" w:rsidRPr="005D582E">
        <w:rPr>
          <w:sz w:val="26"/>
          <w:szCs w:val="26"/>
        </w:rPr>
        <w:t>omments at 5</w:t>
      </w:r>
      <w:r w:rsidR="00D90BA3">
        <w:rPr>
          <w:sz w:val="26"/>
          <w:szCs w:val="26"/>
        </w:rPr>
        <w:t>.</w:t>
      </w:r>
      <w:r w:rsidR="009F34FE" w:rsidRPr="005D582E">
        <w:rPr>
          <w:sz w:val="26"/>
          <w:szCs w:val="26"/>
        </w:rPr>
        <w:t>)</w:t>
      </w:r>
      <w:proofErr w:type="gramEnd"/>
      <w:r w:rsidR="009F34FE" w:rsidRPr="005D582E">
        <w:rPr>
          <w:sz w:val="26"/>
          <w:szCs w:val="26"/>
        </w:rPr>
        <w:t xml:space="preserve"> </w:t>
      </w:r>
    </w:p>
    <w:p w:rsidR="00150821" w:rsidRPr="005D582E" w:rsidRDefault="00150821" w:rsidP="00150821">
      <w:pPr>
        <w:spacing w:line="360" w:lineRule="auto"/>
        <w:rPr>
          <w:b/>
          <w:sz w:val="26"/>
          <w:szCs w:val="26"/>
        </w:rPr>
      </w:pPr>
    </w:p>
    <w:p w:rsidR="00844100" w:rsidRPr="00D90BA3" w:rsidRDefault="00150821" w:rsidP="0052550D">
      <w:pPr>
        <w:pStyle w:val="ListParagraph"/>
        <w:numPr>
          <w:ilvl w:val="0"/>
          <w:numId w:val="25"/>
        </w:numPr>
        <w:spacing w:line="360" w:lineRule="auto"/>
        <w:ind w:left="1440" w:hanging="720"/>
        <w:rPr>
          <w:b/>
          <w:sz w:val="26"/>
          <w:szCs w:val="26"/>
        </w:rPr>
      </w:pPr>
      <w:r w:rsidRPr="00D90BA3">
        <w:rPr>
          <w:b/>
          <w:sz w:val="26"/>
          <w:szCs w:val="26"/>
        </w:rPr>
        <w:t>Disposition</w:t>
      </w:r>
    </w:p>
    <w:p w:rsidR="00150821" w:rsidRPr="005D582E" w:rsidRDefault="00150821" w:rsidP="00150821">
      <w:pPr>
        <w:spacing w:line="360" w:lineRule="auto"/>
        <w:rPr>
          <w:sz w:val="26"/>
          <w:szCs w:val="26"/>
        </w:rPr>
      </w:pPr>
    </w:p>
    <w:p w:rsidR="00150821" w:rsidRPr="005D582E" w:rsidRDefault="00150821" w:rsidP="00150821">
      <w:pPr>
        <w:spacing w:line="360" w:lineRule="auto"/>
        <w:ind w:firstLine="720"/>
        <w:rPr>
          <w:sz w:val="26"/>
          <w:szCs w:val="26"/>
        </w:rPr>
      </w:pPr>
      <w:r w:rsidRPr="005D582E">
        <w:rPr>
          <w:sz w:val="26"/>
          <w:szCs w:val="26"/>
        </w:rPr>
        <w:t>The Commission rejects the addition of low</w:t>
      </w:r>
      <w:r w:rsidR="00495F24">
        <w:rPr>
          <w:sz w:val="26"/>
          <w:szCs w:val="26"/>
        </w:rPr>
        <w:t>-</w:t>
      </w:r>
      <w:r w:rsidRPr="005D582E">
        <w:rPr>
          <w:sz w:val="26"/>
          <w:szCs w:val="26"/>
        </w:rPr>
        <w:t xml:space="preserve">income </w:t>
      </w:r>
      <w:r w:rsidR="00D90BA3">
        <w:rPr>
          <w:sz w:val="26"/>
          <w:szCs w:val="26"/>
        </w:rPr>
        <w:t xml:space="preserve">specific </w:t>
      </w:r>
      <w:r w:rsidRPr="005D582E">
        <w:rPr>
          <w:sz w:val="26"/>
          <w:szCs w:val="26"/>
        </w:rPr>
        <w:t xml:space="preserve">baseline </w:t>
      </w:r>
      <w:r w:rsidR="00D90BA3">
        <w:rPr>
          <w:sz w:val="26"/>
          <w:szCs w:val="26"/>
        </w:rPr>
        <w:t xml:space="preserve">data </w:t>
      </w:r>
      <w:r w:rsidRPr="005D582E">
        <w:rPr>
          <w:sz w:val="26"/>
          <w:szCs w:val="26"/>
        </w:rPr>
        <w:t xml:space="preserve">to the TRM.  Adding measure </w:t>
      </w:r>
      <w:r w:rsidR="00D90BA3" w:rsidRPr="005D582E">
        <w:rPr>
          <w:sz w:val="26"/>
          <w:szCs w:val="26"/>
        </w:rPr>
        <w:t>baseline</w:t>
      </w:r>
      <w:r w:rsidR="00D90BA3">
        <w:rPr>
          <w:sz w:val="26"/>
          <w:szCs w:val="26"/>
        </w:rPr>
        <w:t>s</w:t>
      </w:r>
      <w:r w:rsidR="00D90BA3" w:rsidRPr="005D582E">
        <w:rPr>
          <w:sz w:val="26"/>
          <w:szCs w:val="26"/>
        </w:rPr>
        <w:t xml:space="preserve"> </w:t>
      </w:r>
      <w:r w:rsidRPr="005D582E">
        <w:rPr>
          <w:sz w:val="26"/>
          <w:szCs w:val="26"/>
        </w:rPr>
        <w:t xml:space="preserve">for the low-income sector would add an unnecessary level of complexity when programs are already being appropriately monitored and measured within measures </w:t>
      </w:r>
      <w:r w:rsidR="007E7C1B" w:rsidRPr="005D582E">
        <w:rPr>
          <w:sz w:val="26"/>
          <w:szCs w:val="26"/>
        </w:rPr>
        <w:t xml:space="preserve">that have </w:t>
      </w:r>
      <w:r w:rsidRPr="005D582E">
        <w:rPr>
          <w:sz w:val="26"/>
          <w:szCs w:val="26"/>
        </w:rPr>
        <w:t xml:space="preserve">already </w:t>
      </w:r>
      <w:r w:rsidR="007E7C1B" w:rsidRPr="005D582E">
        <w:rPr>
          <w:sz w:val="26"/>
          <w:szCs w:val="26"/>
        </w:rPr>
        <w:t xml:space="preserve">been </w:t>
      </w:r>
      <w:r w:rsidRPr="005D582E">
        <w:rPr>
          <w:sz w:val="26"/>
          <w:szCs w:val="26"/>
        </w:rPr>
        <w:t xml:space="preserve">included in the TRM.  The TRM is a manual consisting of standardized measures to be widely applied.  </w:t>
      </w:r>
      <w:r w:rsidR="00495F24">
        <w:rPr>
          <w:sz w:val="26"/>
          <w:szCs w:val="26"/>
        </w:rPr>
        <w:t>Low-income</w:t>
      </w:r>
      <w:r w:rsidR="00E05FB8">
        <w:rPr>
          <w:sz w:val="26"/>
          <w:szCs w:val="26"/>
        </w:rPr>
        <w:t xml:space="preserve"> baseline measures are determined by studies of the low-income population of each EDC’s territory.  Therefore, o</w:t>
      </w:r>
      <w:r w:rsidR="002C5AFD" w:rsidRPr="005D582E">
        <w:rPr>
          <w:sz w:val="26"/>
          <w:szCs w:val="26"/>
        </w:rPr>
        <w:t>ne baseline measure for low</w:t>
      </w:r>
      <w:r w:rsidR="00F72641">
        <w:rPr>
          <w:sz w:val="26"/>
          <w:szCs w:val="26"/>
        </w:rPr>
        <w:t>-</w:t>
      </w:r>
      <w:r w:rsidR="002C5AFD" w:rsidRPr="005D582E">
        <w:rPr>
          <w:sz w:val="26"/>
          <w:szCs w:val="26"/>
        </w:rPr>
        <w:t xml:space="preserve">income </w:t>
      </w:r>
      <w:r w:rsidR="00F72641">
        <w:rPr>
          <w:sz w:val="26"/>
          <w:szCs w:val="26"/>
        </w:rPr>
        <w:t>c</w:t>
      </w:r>
      <w:r w:rsidR="002C5AFD" w:rsidRPr="005D582E">
        <w:rPr>
          <w:sz w:val="26"/>
          <w:szCs w:val="26"/>
        </w:rPr>
        <w:t xml:space="preserve">ould not </w:t>
      </w:r>
      <w:r w:rsidR="00F72641">
        <w:rPr>
          <w:sz w:val="26"/>
          <w:szCs w:val="26"/>
        </w:rPr>
        <w:t>be applied</w:t>
      </w:r>
      <w:r w:rsidR="002C5AFD" w:rsidRPr="005D582E">
        <w:rPr>
          <w:sz w:val="26"/>
          <w:szCs w:val="26"/>
        </w:rPr>
        <w:t xml:space="preserve"> statewide.  Creating a low</w:t>
      </w:r>
      <w:r w:rsidR="00F72641">
        <w:rPr>
          <w:sz w:val="26"/>
          <w:szCs w:val="26"/>
        </w:rPr>
        <w:t>-</w:t>
      </w:r>
      <w:r w:rsidR="002C5AFD" w:rsidRPr="005D582E">
        <w:rPr>
          <w:sz w:val="26"/>
          <w:szCs w:val="26"/>
        </w:rPr>
        <w:t xml:space="preserve">income baseline for each EDC would not be cost-effective and would add an unmanageable level of complexity to the TRM.  </w:t>
      </w:r>
    </w:p>
    <w:p w:rsidR="00223092" w:rsidRPr="00EB3F80" w:rsidRDefault="00223092" w:rsidP="006B5753">
      <w:pPr>
        <w:pStyle w:val="p3"/>
        <w:tabs>
          <w:tab w:val="clear" w:pos="204"/>
        </w:tabs>
        <w:spacing w:line="360" w:lineRule="auto"/>
        <w:ind w:firstLine="720"/>
        <w:rPr>
          <w:sz w:val="26"/>
          <w:szCs w:val="26"/>
        </w:rPr>
      </w:pPr>
    </w:p>
    <w:p w:rsidR="002778DE" w:rsidRDefault="009F34FE" w:rsidP="006B5753">
      <w:pPr>
        <w:pStyle w:val="p3"/>
        <w:tabs>
          <w:tab w:val="clear" w:pos="204"/>
        </w:tabs>
        <w:spacing w:line="360" w:lineRule="auto"/>
        <w:rPr>
          <w:b/>
          <w:sz w:val="26"/>
          <w:szCs w:val="26"/>
        </w:rPr>
      </w:pPr>
      <w:r>
        <w:rPr>
          <w:b/>
          <w:sz w:val="26"/>
          <w:szCs w:val="26"/>
        </w:rPr>
        <w:t>I</w:t>
      </w:r>
      <w:r w:rsidR="002778DE">
        <w:rPr>
          <w:b/>
          <w:sz w:val="26"/>
          <w:szCs w:val="26"/>
        </w:rPr>
        <w:t xml:space="preserve">.  </w:t>
      </w:r>
      <w:r w:rsidR="00F72641">
        <w:rPr>
          <w:b/>
          <w:sz w:val="26"/>
          <w:szCs w:val="26"/>
        </w:rPr>
        <w:tab/>
      </w:r>
      <w:r w:rsidR="002778DE">
        <w:rPr>
          <w:b/>
          <w:sz w:val="26"/>
          <w:szCs w:val="26"/>
        </w:rPr>
        <w:t>Technical Working Group</w:t>
      </w:r>
    </w:p>
    <w:p w:rsidR="00EB0E14" w:rsidRDefault="00EB0E14" w:rsidP="006B5753">
      <w:pPr>
        <w:pStyle w:val="p3"/>
        <w:tabs>
          <w:tab w:val="clear" w:pos="204"/>
        </w:tabs>
        <w:spacing w:line="360" w:lineRule="auto"/>
        <w:rPr>
          <w:b/>
          <w:sz w:val="26"/>
          <w:szCs w:val="26"/>
        </w:rPr>
      </w:pPr>
    </w:p>
    <w:p w:rsidR="00EB0E14" w:rsidRDefault="00007E23" w:rsidP="00EB0E14">
      <w:pPr>
        <w:pStyle w:val="p3"/>
        <w:tabs>
          <w:tab w:val="clear" w:pos="204"/>
        </w:tabs>
        <w:spacing w:line="360" w:lineRule="auto"/>
        <w:ind w:firstLine="720"/>
        <w:rPr>
          <w:b/>
          <w:sz w:val="26"/>
          <w:szCs w:val="26"/>
        </w:rPr>
      </w:pPr>
      <w:r>
        <w:rPr>
          <w:sz w:val="26"/>
          <w:szCs w:val="26"/>
        </w:rPr>
        <w:t>The TWG is chaired by the SWE and is composed of representatives from the EDCs, Commission</w:t>
      </w:r>
      <w:r w:rsidR="00297E7B">
        <w:rPr>
          <w:sz w:val="26"/>
          <w:szCs w:val="26"/>
        </w:rPr>
        <w:t xml:space="preserve"> staff</w:t>
      </w:r>
      <w:r>
        <w:rPr>
          <w:sz w:val="26"/>
          <w:szCs w:val="26"/>
        </w:rPr>
        <w:t xml:space="preserve">, and other interested parties.  The TWG’s purpose is to encourage discussion of technical issues related to the EM&amp;V of </w:t>
      </w:r>
      <w:r w:rsidR="00297E7B">
        <w:rPr>
          <w:sz w:val="26"/>
          <w:szCs w:val="26"/>
        </w:rPr>
        <w:t>the EDCs’ EE&amp;C</w:t>
      </w:r>
      <w:r>
        <w:rPr>
          <w:sz w:val="26"/>
          <w:szCs w:val="26"/>
        </w:rPr>
        <w:t xml:space="preserve"> programs.  </w:t>
      </w:r>
      <w:r w:rsidR="00521EFB">
        <w:rPr>
          <w:sz w:val="26"/>
          <w:szCs w:val="26"/>
        </w:rPr>
        <w:t xml:space="preserve">To date, priority has been given to the vetting of </w:t>
      </w:r>
      <w:r w:rsidR="00521EFB" w:rsidRPr="0048714F">
        <w:rPr>
          <w:sz w:val="26"/>
          <w:szCs w:val="26"/>
        </w:rPr>
        <w:t>new</w:t>
      </w:r>
      <w:r w:rsidR="00521EFB">
        <w:rPr>
          <w:sz w:val="26"/>
          <w:szCs w:val="26"/>
        </w:rPr>
        <w:t xml:space="preserve"> measures</w:t>
      </w:r>
      <w:r w:rsidR="00E25BF2">
        <w:rPr>
          <w:sz w:val="26"/>
          <w:szCs w:val="26"/>
        </w:rPr>
        <w:t xml:space="preserve"> and to</w:t>
      </w:r>
      <w:r w:rsidR="00E25BF2" w:rsidRPr="00E25BF2">
        <w:rPr>
          <w:color w:val="1F497D"/>
          <w:szCs w:val="20"/>
        </w:rPr>
        <w:t xml:space="preserve"> </w:t>
      </w:r>
      <w:r w:rsidR="00E25BF2" w:rsidRPr="00E25BF2">
        <w:rPr>
          <w:sz w:val="26"/>
          <w:szCs w:val="26"/>
        </w:rPr>
        <w:t>addressing data tracking and reporting issues</w:t>
      </w:r>
      <w:r w:rsidR="00E25BF2">
        <w:rPr>
          <w:sz w:val="26"/>
          <w:szCs w:val="26"/>
        </w:rPr>
        <w:t>, as well as</w:t>
      </w:r>
      <w:r w:rsidR="00E25BF2" w:rsidRPr="00E25BF2">
        <w:rPr>
          <w:sz w:val="26"/>
          <w:szCs w:val="26"/>
        </w:rPr>
        <w:t xml:space="preserve"> technical concerns</w:t>
      </w:r>
      <w:r w:rsidR="00521EFB">
        <w:rPr>
          <w:sz w:val="26"/>
          <w:szCs w:val="26"/>
        </w:rPr>
        <w:t xml:space="preserve">.  </w:t>
      </w:r>
    </w:p>
    <w:p w:rsidR="00844100" w:rsidRDefault="00844100">
      <w:pPr>
        <w:pStyle w:val="p3"/>
        <w:tabs>
          <w:tab w:val="clear" w:pos="204"/>
        </w:tabs>
        <w:spacing w:line="360" w:lineRule="auto"/>
        <w:ind w:firstLine="720"/>
        <w:rPr>
          <w:b/>
          <w:sz w:val="26"/>
          <w:szCs w:val="26"/>
        </w:rPr>
      </w:pPr>
    </w:p>
    <w:p w:rsidR="00844100" w:rsidRDefault="002778DE" w:rsidP="0048714F">
      <w:pPr>
        <w:pStyle w:val="p3"/>
        <w:numPr>
          <w:ilvl w:val="0"/>
          <w:numId w:val="26"/>
        </w:numPr>
        <w:tabs>
          <w:tab w:val="clear" w:pos="204"/>
        </w:tabs>
        <w:spacing w:line="360" w:lineRule="auto"/>
        <w:ind w:left="1440" w:hanging="720"/>
        <w:rPr>
          <w:b/>
          <w:sz w:val="26"/>
          <w:szCs w:val="26"/>
        </w:rPr>
      </w:pPr>
      <w:r>
        <w:rPr>
          <w:b/>
          <w:sz w:val="26"/>
          <w:szCs w:val="26"/>
        </w:rPr>
        <w:t>Comments</w:t>
      </w:r>
    </w:p>
    <w:p w:rsidR="00844100" w:rsidRDefault="00844100">
      <w:pPr>
        <w:pStyle w:val="p3"/>
        <w:tabs>
          <w:tab w:val="clear" w:pos="204"/>
        </w:tabs>
        <w:spacing w:line="360" w:lineRule="auto"/>
        <w:ind w:firstLine="720"/>
        <w:rPr>
          <w:sz w:val="26"/>
          <w:szCs w:val="26"/>
        </w:rPr>
      </w:pPr>
    </w:p>
    <w:p w:rsidR="00844100" w:rsidRDefault="00755D49">
      <w:pPr>
        <w:pStyle w:val="p3"/>
        <w:tabs>
          <w:tab w:val="clear" w:pos="204"/>
        </w:tabs>
        <w:spacing w:line="360" w:lineRule="auto"/>
        <w:ind w:firstLine="720"/>
        <w:rPr>
          <w:sz w:val="26"/>
          <w:szCs w:val="26"/>
        </w:rPr>
      </w:pPr>
      <w:r w:rsidRPr="00755D49">
        <w:rPr>
          <w:sz w:val="26"/>
          <w:szCs w:val="26"/>
        </w:rPr>
        <w:t xml:space="preserve">Several parties </w:t>
      </w:r>
      <w:r w:rsidR="000F2305">
        <w:rPr>
          <w:sz w:val="26"/>
          <w:szCs w:val="26"/>
        </w:rPr>
        <w:t>commented on</w:t>
      </w:r>
      <w:r w:rsidRPr="00755D49">
        <w:rPr>
          <w:sz w:val="26"/>
          <w:szCs w:val="26"/>
        </w:rPr>
        <w:t xml:space="preserve"> the </w:t>
      </w:r>
      <w:r w:rsidR="000F2305">
        <w:rPr>
          <w:sz w:val="26"/>
          <w:szCs w:val="26"/>
        </w:rPr>
        <w:t xml:space="preserve">work to be performed by the </w:t>
      </w:r>
      <w:r w:rsidR="002778DE">
        <w:rPr>
          <w:sz w:val="26"/>
          <w:szCs w:val="26"/>
        </w:rPr>
        <w:t>TWG</w:t>
      </w:r>
      <w:r w:rsidRPr="00755D49">
        <w:rPr>
          <w:sz w:val="26"/>
          <w:szCs w:val="26"/>
        </w:rPr>
        <w:t>.  In many cases</w:t>
      </w:r>
      <w:r w:rsidR="002778DE">
        <w:rPr>
          <w:sz w:val="26"/>
          <w:szCs w:val="26"/>
        </w:rPr>
        <w:t>,</w:t>
      </w:r>
      <w:r w:rsidRPr="00755D49">
        <w:rPr>
          <w:sz w:val="26"/>
          <w:szCs w:val="26"/>
        </w:rPr>
        <w:t xml:space="preserve"> the </w:t>
      </w:r>
      <w:r w:rsidR="000F2305">
        <w:rPr>
          <w:sz w:val="26"/>
          <w:szCs w:val="26"/>
        </w:rPr>
        <w:t>Commenters</w:t>
      </w:r>
      <w:r w:rsidRPr="00755D49">
        <w:rPr>
          <w:sz w:val="26"/>
          <w:szCs w:val="26"/>
        </w:rPr>
        <w:t xml:space="preserve"> recommended that </w:t>
      </w:r>
      <w:r w:rsidR="000F2305">
        <w:rPr>
          <w:sz w:val="26"/>
          <w:szCs w:val="26"/>
        </w:rPr>
        <w:t xml:space="preserve">new </w:t>
      </w:r>
      <w:r w:rsidRPr="00755D49">
        <w:rPr>
          <w:sz w:val="26"/>
          <w:szCs w:val="26"/>
        </w:rPr>
        <w:t xml:space="preserve">items not </w:t>
      </w:r>
      <w:r w:rsidR="000F2305">
        <w:rPr>
          <w:sz w:val="26"/>
          <w:szCs w:val="26"/>
        </w:rPr>
        <w:t xml:space="preserve">previously reviewed by the </w:t>
      </w:r>
      <w:r w:rsidRPr="00755D49">
        <w:rPr>
          <w:sz w:val="26"/>
          <w:szCs w:val="26"/>
        </w:rPr>
        <w:t xml:space="preserve">TWG be addressed in this forum going forward.  For example, </w:t>
      </w:r>
      <w:r w:rsidR="002778DE">
        <w:rPr>
          <w:sz w:val="26"/>
          <w:szCs w:val="26"/>
        </w:rPr>
        <w:t xml:space="preserve">the </w:t>
      </w:r>
      <w:r w:rsidRPr="00755D49">
        <w:rPr>
          <w:sz w:val="26"/>
          <w:szCs w:val="26"/>
        </w:rPr>
        <w:t xml:space="preserve">EAPA </w:t>
      </w:r>
      <w:r w:rsidR="002778DE">
        <w:rPr>
          <w:sz w:val="26"/>
          <w:szCs w:val="26"/>
        </w:rPr>
        <w:t>stated</w:t>
      </w:r>
      <w:r w:rsidRPr="00755D49">
        <w:rPr>
          <w:sz w:val="26"/>
          <w:szCs w:val="26"/>
        </w:rPr>
        <w:t xml:space="preserve"> that changes to baseline data for residential </w:t>
      </w:r>
      <w:r w:rsidR="002778DE">
        <w:rPr>
          <w:sz w:val="26"/>
          <w:szCs w:val="26"/>
        </w:rPr>
        <w:t>CFLs</w:t>
      </w:r>
      <w:r w:rsidRPr="00755D49">
        <w:rPr>
          <w:sz w:val="26"/>
          <w:szCs w:val="26"/>
        </w:rPr>
        <w:t xml:space="preserve"> and refrigerator/freezer retirement were not </w:t>
      </w:r>
      <w:r w:rsidRPr="00755D49">
        <w:rPr>
          <w:sz w:val="26"/>
          <w:szCs w:val="26"/>
        </w:rPr>
        <w:lastRenderedPageBreak/>
        <w:t>vetted through the TWG</w:t>
      </w:r>
      <w:r w:rsidR="00485F71">
        <w:rPr>
          <w:sz w:val="26"/>
          <w:szCs w:val="26"/>
        </w:rPr>
        <w:t xml:space="preserve"> prior to baseline changes being introduced in the proposed 2011 TRM update</w:t>
      </w:r>
      <w:r w:rsidR="002778DE">
        <w:rPr>
          <w:sz w:val="26"/>
          <w:szCs w:val="26"/>
        </w:rPr>
        <w:t>.</w:t>
      </w:r>
      <w:r w:rsidRPr="00755D49">
        <w:rPr>
          <w:sz w:val="26"/>
          <w:szCs w:val="26"/>
        </w:rPr>
        <w:t xml:space="preserve"> </w:t>
      </w:r>
      <w:r w:rsidR="000F2305">
        <w:rPr>
          <w:sz w:val="26"/>
          <w:szCs w:val="26"/>
        </w:rPr>
        <w:t xml:space="preserve"> </w:t>
      </w:r>
      <w:proofErr w:type="gramStart"/>
      <w:r w:rsidRPr="00755D49">
        <w:rPr>
          <w:sz w:val="26"/>
          <w:szCs w:val="26"/>
        </w:rPr>
        <w:t>(EAPA</w:t>
      </w:r>
      <w:r w:rsidR="002778DE">
        <w:rPr>
          <w:sz w:val="26"/>
          <w:szCs w:val="26"/>
        </w:rPr>
        <w:t xml:space="preserve"> </w:t>
      </w:r>
      <w:r w:rsidR="00485F71">
        <w:rPr>
          <w:sz w:val="26"/>
          <w:szCs w:val="26"/>
        </w:rPr>
        <w:t>C</w:t>
      </w:r>
      <w:r w:rsidR="002778DE">
        <w:rPr>
          <w:sz w:val="26"/>
          <w:szCs w:val="26"/>
        </w:rPr>
        <w:t>omments at</w:t>
      </w:r>
      <w:r w:rsidRPr="00755D49">
        <w:rPr>
          <w:sz w:val="26"/>
          <w:szCs w:val="26"/>
        </w:rPr>
        <w:t xml:space="preserve"> 4</w:t>
      </w:r>
      <w:r w:rsidR="00485F71">
        <w:rPr>
          <w:sz w:val="26"/>
          <w:szCs w:val="26"/>
        </w:rPr>
        <w:t>.</w:t>
      </w:r>
      <w:r w:rsidRPr="00755D49">
        <w:rPr>
          <w:sz w:val="26"/>
          <w:szCs w:val="26"/>
        </w:rPr>
        <w:t>)</w:t>
      </w:r>
      <w:proofErr w:type="gramEnd"/>
      <w:r w:rsidRPr="00755D49">
        <w:rPr>
          <w:sz w:val="26"/>
          <w:szCs w:val="26"/>
        </w:rPr>
        <w:t xml:space="preserve">  Several other EDCs echoed</w:t>
      </w:r>
      <w:r w:rsidR="002778DE">
        <w:rPr>
          <w:sz w:val="26"/>
          <w:szCs w:val="26"/>
        </w:rPr>
        <w:t xml:space="preserve"> the</w:t>
      </w:r>
      <w:r w:rsidRPr="00755D49">
        <w:rPr>
          <w:sz w:val="26"/>
          <w:szCs w:val="26"/>
        </w:rPr>
        <w:t xml:space="preserve"> EAPA’s comments and recommended that going forward any baseline changes be vetted in the TWG</w:t>
      </w:r>
      <w:r w:rsidR="00485F71">
        <w:rPr>
          <w:sz w:val="26"/>
          <w:szCs w:val="26"/>
        </w:rPr>
        <w:t xml:space="preserve"> before being added to future TRM updates</w:t>
      </w:r>
      <w:r w:rsidR="002778DE">
        <w:rPr>
          <w:sz w:val="26"/>
          <w:szCs w:val="26"/>
        </w:rPr>
        <w:t>.</w:t>
      </w:r>
      <w:r w:rsidRPr="00755D49">
        <w:rPr>
          <w:sz w:val="26"/>
          <w:szCs w:val="26"/>
        </w:rPr>
        <w:t xml:space="preserve"> </w:t>
      </w:r>
      <w:r w:rsidR="00485F71">
        <w:rPr>
          <w:sz w:val="26"/>
          <w:szCs w:val="26"/>
        </w:rPr>
        <w:t xml:space="preserve"> </w:t>
      </w:r>
      <w:r w:rsidRPr="00755D49">
        <w:rPr>
          <w:sz w:val="26"/>
          <w:szCs w:val="26"/>
        </w:rPr>
        <w:t>(Allegheny</w:t>
      </w:r>
      <w:r w:rsidR="002778DE">
        <w:rPr>
          <w:sz w:val="26"/>
          <w:szCs w:val="26"/>
        </w:rPr>
        <w:t xml:space="preserve"> Power </w:t>
      </w:r>
      <w:r w:rsidR="00485F71">
        <w:rPr>
          <w:sz w:val="26"/>
          <w:szCs w:val="26"/>
        </w:rPr>
        <w:t>C</w:t>
      </w:r>
      <w:r w:rsidR="002778DE">
        <w:rPr>
          <w:sz w:val="26"/>
          <w:szCs w:val="26"/>
        </w:rPr>
        <w:t xml:space="preserve">omments at </w:t>
      </w:r>
      <w:r w:rsidR="00495F24">
        <w:rPr>
          <w:sz w:val="26"/>
          <w:szCs w:val="26"/>
        </w:rPr>
        <w:t>2</w:t>
      </w:r>
      <w:r w:rsidR="002778DE">
        <w:rPr>
          <w:sz w:val="26"/>
          <w:szCs w:val="26"/>
        </w:rPr>
        <w:t xml:space="preserve"> </w:t>
      </w:r>
      <w:r w:rsidR="00485F71">
        <w:rPr>
          <w:sz w:val="26"/>
          <w:szCs w:val="26"/>
        </w:rPr>
        <w:t xml:space="preserve">and </w:t>
      </w:r>
      <w:r w:rsidRPr="00755D49">
        <w:rPr>
          <w:sz w:val="26"/>
          <w:szCs w:val="26"/>
        </w:rPr>
        <w:t>PECO</w:t>
      </w:r>
      <w:r w:rsidR="002778DE">
        <w:rPr>
          <w:sz w:val="26"/>
          <w:szCs w:val="26"/>
        </w:rPr>
        <w:t xml:space="preserve"> </w:t>
      </w:r>
      <w:r w:rsidR="00485F71">
        <w:rPr>
          <w:sz w:val="26"/>
          <w:szCs w:val="26"/>
        </w:rPr>
        <w:t>C</w:t>
      </w:r>
      <w:r w:rsidR="002778DE">
        <w:rPr>
          <w:sz w:val="26"/>
          <w:szCs w:val="26"/>
        </w:rPr>
        <w:t>omments at</w:t>
      </w:r>
      <w:r w:rsidRPr="00755D49">
        <w:rPr>
          <w:sz w:val="26"/>
          <w:szCs w:val="26"/>
        </w:rPr>
        <w:t xml:space="preserve"> 2</w:t>
      </w:r>
      <w:r w:rsidR="00485F71">
        <w:rPr>
          <w:sz w:val="26"/>
          <w:szCs w:val="26"/>
        </w:rPr>
        <w:t>.</w:t>
      </w:r>
      <w:r w:rsidRPr="00755D49">
        <w:rPr>
          <w:sz w:val="26"/>
          <w:szCs w:val="26"/>
        </w:rPr>
        <w:t>)  Comments from FirstEnergy noted that changes in federal legislation affecting standards and baseline values should be discussed in the TWG</w:t>
      </w:r>
      <w:r w:rsidR="00485F71">
        <w:rPr>
          <w:sz w:val="26"/>
          <w:szCs w:val="26"/>
        </w:rPr>
        <w:t xml:space="preserve"> as well</w:t>
      </w:r>
      <w:r w:rsidR="002778DE">
        <w:rPr>
          <w:sz w:val="26"/>
          <w:szCs w:val="26"/>
        </w:rPr>
        <w:t>.</w:t>
      </w:r>
      <w:r w:rsidR="00485F71">
        <w:rPr>
          <w:sz w:val="26"/>
          <w:szCs w:val="26"/>
        </w:rPr>
        <w:t xml:space="preserve"> </w:t>
      </w:r>
      <w:r w:rsidRPr="00755D49">
        <w:rPr>
          <w:sz w:val="26"/>
          <w:szCs w:val="26"/>
        </w:rPr>
        <w:t xml:space="preserve"> </w:t>
      </w:r>
      <w:proofErr w:type="gramStart"/>
      <w:r w:rsidRPr="00755D49">
        <w:rPr>
          <w:sz w:val="26"/>
          <w:szCs w:val="26"/>
        </w:rPr>
        <w:t>(F</w:t>
      </w:r>
      <w:r w:rsidR="002778DE">
        <w:rPr>
          <w:sz w:val="26"/>
          <w:szCs w:val="26"/>
        </w:rPr>
        <w:t xml:space="preserve">irstEnergy </w:t>
      </w:r>
      <w:r w:rsidR="00485F71">
        <w:rPr>
          <w:sz w:val="26"/>
          <w:szCs w:val="26"/>
        </w:rPr>
        <w:t>C</w:t>
      </w:r>
      <w:r w:rsidR="002778DE">
        <w:rPr>
          <w:sz w:val="26"/>
          <w:szCs w:val="26"/>
        </w:rPr>
        <w:t>omments at 12</w:t>
      </w:r>
      <w:r w:rsidR="00485F71">
        <w:rPr>
          <w:sz w:val="26"/>
          <w:szCs w:val="26"/>
        </w:rPr>
        <w:t>.</w:t>
      </w:r>
      <w:r w:rsidR="002778DE">
        <w:rPr>
          <w:sz w:val="26"/>
          <w:szCs w:val="26"/>
        </w:rPr>
        <w:t>)</w:t>
      </w:r>
      <w:proofErr w:type="gramEnd"/>
    </w:p>
    <w:p w:rsidR="00844100" w:rsidRDefault="00844100">
      <w:pPr>
        <w:pStyle w:val="p3"/>
        <w:tabs>
          <w:tab w:val="clear" w:pos="204"/>
        </w:tabs>
        <w:spacing w:line="360" w:lineRule="auto"/>
        <w:ind w:firstLine="720"/>
        <w:rPr>
          <w:sz w:val="26"/>
          <w:szCs w:val="26"/>
        </w:rPr>
      </w:pPr>
    </w:p>
    <w:p w:rsidR="00844100" w:rsidRDefault="002778DE" w:rsidP="0048714F">
      <w:pPr>
        <w:pStyle w:val="p3"/>
        <w:numPr>
          <w:ilvl w:val="0"/>
          <w:numId w:val="26"/>
        </w:numPr>
        <w:tabs>
          <w:tab w:val="clear" w:pos="204"/>
        </w:tabs>
        <w:spacing w:line="360" w:lineRule="auto"/>
        <w:ind w:left="1440" w:hanging="720"/>
        <w:rPr>
          <w:sz w:val="26"/>
          <w:szCs w:val="26"/>
        </w:rPr>
      </w:pPr>
      <w:r>
        <w:rPr>
          <w:b/>
          <w:sz w:val="26"/>
          <w:szCs w:val="26"/>
        </w:rPr>
        <w:t>Disposition</w:t>
      </w:r>
    </w:p>
    <w:p w:rsidR="00844100" w:rsidRDefault="00844100">
      <w:pPr>
        <w:pStyle w:val="p3"/>
        <w:tabs>
          <w:tab w:val="clear" w:pos="204"/>
        </w:tabs>
        <w:spacing w:line="360" w:lineRule="auto"/>
        <w:ind w:firstLine="720"/>
        <w:rPr>
          <w:sz w:val="26"/>
          <w:szCs w:val="26"/>
        </w:rPr>
      </w:pPr>
    </w:p>
    <w:p w:rsidR="002778DE" w:rsidRDefault="002778DE" w:rsidP="002778DE">
      <w:pPr>
        <w:pStyle w:val="p3"/>
        <w:spacing w:line="360" w:lineRule="auto"/>
        <w:ind w:firstLine="720"/>
        <w:rPr>
          <w:sz w:val="26"/>
          <w:szCs w:val="26"/>
        </w:rPr>
      </w:pPr>
      <w:r w:rsidRPr="002778DE">
        <w:rPr>
          <w:sz w:val="26"/>
          <w:szCs w:val="26"/>
        </w:rPr>
        <w:t xml:space="preserve">The 2011 TRM Annual Update Tentative Order contained </w:t>
      </w:r>
      <w:r>
        <w:rPr>
          <w:sz w:val="26"/>
          <w:szCs w:val="26"/>
        </w:rPr>
        <w:t>18</w:t>
      </w:r>
      <w:r w:rsidRPr="002778DE">
        <w:rPr>
          <w:sz w:val="26"/>
          <w:szCs w:val="26"/>
        </w:rPr>
        <w:t xml:space="preserve"> new residential</w:t>
      </w:r>
      <w:r w:rsidR="00495F24">
        <w:rPr>
          <w:sz w:val="26"/>
          <w:szCs w:val="26"/>
        </w:rPr>
        <w:t xml:space="preserve">, </w:t>
      </w:r>
      <w:r w:rsidR="00495F24" w:rsidRPr="002778DE">
        <w:rPr>
          <w:sz w:val="26"/>
          <w:szCs w:val="26"/>
        </w:rPr>
        <w:t>as</w:t>
      </w:r>
      <w:r w:rsidR="00485F71" w:rsidRPr="002778DE">
        <w:rPr>
          <w:sz w:val="26"/>
          <w:szCs w:val="26"/>
        </w:rPr>
        <w:t xml:space="preserve"> well as nine new </w:t>
      </w:r>
      <w:r w:rsidR="00485F71">
        <w:rPr>
          <w:sz w:val="26"/>
          <w:szCs w:val="26"/>
        </w:rPr>
        <w:t>C&amp;I,</w:t>
      </w:r>
      <w:r w:rsidR="00485F71" w:rsidRPr="002778DE">
        <w:rPr>
          <w:sz w:val="26"/>
          <w:szCs w:val="26"/>
        </w:rPr>
        <w:t xml:space="preserve"> </w:t>
      </w:r>
      <w:r w:rsidRPr="002778DE">
        <w:rPr>
          <w:sz w:val="26"/>
          <w:szCs w:val="26"/>
        </w:rPr>
        <w:t xml:space="preserve">EE&amp;C measures with deemed protocols </w:t>
      </w:r>
      <w:r w:rsidR="00AB7964">
        <w:rPr>
          <w:sz w:val="26"/>
          <w:szCs w:val="26"/>
        </w:rPr>
        <w:t>that</w:t>
      </w:r>
      <w:r w:rsidRPr="002778DE">
        <w:rPr>
          <w:sz w:val="26"/>
          <w:szCs w:val="26"/>
        </w:rPr>
        <w:t xml:space="preserve"> were vetted by the TWG.  These items were a priority for the EDCs as the new measures were included in the EDCs’ Act 129 EE&amp;C plans</w:t>
      </w:r>
      <w:r w:rsidR="00AE219B">
        <w:rPr>
          <w:sz w:val="26"/>
          <w:szCs w:val="26"/>
        </w:rPr>
        <w:t xml:space="preserve"> and</w:t>
      </w:r>
      <w:r w:rsidRPr="002778DE">
        <w:rPr>
          <w:sz w:val="26"/>
          <w:szCs w:val="26"/>
        </w:rPr>
        <w:t xml:space="preserve"> there were no existing deemed savings valu</w:t>
      </w:r>
      <w:r w:rsidR="009B4B38">
        <w:rPr>
          <w:sz w:val="26"/>
          <w:szCs w:val="26"/>
        </w:rPr>
        <w:t>es to cost-</w:t>
      </w:r>
      <w:r w:rsidRPr="002778DE">
        <w:rPr>
          <w:sz w:val="26"/>
          <w:szCs w:val="26"/>
        </w:rPr>
        <w:t xml:space="preserve">effectively address evaluation of these measures.  Based on </w:t>
      </w:r>
      <w:r w:rsidR="004B4C9F">
        <w:rPr>
          <w:sz w:val="26"/>
          <w:szCs w:val="26"/>
        </w:rPr>
        <w:t xml:space="preserve">the </w:t>
      </w:r>
      <w:r w:rsidRPr="002778DE">
        <w:rPr>
          <w:sz w:val="26"/>
          <w:szCs w:val="26"/>
        </w:rPr>
        <w:t xml:space="preserve">comments, </w:t>
      </w:r>
      <w:r w:rsidR="00AB7964">
        <w:rPr>
          <w:sz w:val="26"/>
          <w:szCs w:val="26"/>
        </w:rPr>
        <w:t>it is apparent that the EDCs</w:t>
      </w:r>
      <w:r w:rsidRPr="002778DE">
        <w:rPr>
          <w:sz w:val="26"/>
          <w:szCs w:val="26"/>
        </w:rPr>
        <w:t xml:space="preserve"> wish to </w:t>
      </w:r>
      <w:r w:rsidR="00AB7964">
        <w:rPr>
          <w:sz w:val="26"/>
          <w:szCs w:val="26"/>
        </w:rPr>
        <w:t>expand</w:t>
      </w:r>
      <w:r w:rsidRPr="002778DE">
        <w:rPr>
          <w:sz w:val="26"/>
          <w:szCs w:val="26"/>
        </w:rPr>
        <w:t xml:space="preserve"> </w:t>
      </w:r>
      <w:r w:rsidR="00AB7964" w:rsidRPr="002778DE">
        <w:rPr>
          <w:sz w:val="26"/>
          <w:szCs w:val="26"/>
        </w:rPr>
        <w:t xml:space="preserve">the </w:t>
      </w:r>
      <w:r w:rsidR="00AB7964">
        <w:rPr>
          <w:sz w:val="26"/>
          <w:szCs w:val="26"/>
        </w:rPr>
        <w:t>issues</w:t>
      </w:r>
      <w:r w:rsidR="00AB7964" w:rsidRPr="002778DE">
        <w:rPr>
          <w:sz w:val="26"/>
          <w:szCs w:val="26"/>
        </w:rPr>
        <w:t xml:space="preserve"> considered by the TWG </w:t>
      </w:r>
      <w:r w:rsidRPr="002778DE">
        <w:rPr>
          <w:sz w:val="26"/>
          <w:szCs w:val="26"/>
        </w:rPr>
        <w:t>to include any baseline changes, whether driven by changes in federal or state legislation</w:t>
      </w:r>
      <w:r w:rsidR="00AB7964">
        <w:rPr>
          <w:sz w:val="26"/>
          <w:szCs w:val="26"/>
        </w:rPr>
        <w:t>,</w:t>
      </w:r>
      <w:r w:rsidRPr="002778DE">
        <w:rPr>
          <w:sz w:val="26"/>
          <w:szCs w:val="26"/>
        </w:rPr>
        <w:t xml:space="preserve"> or more current values based on EE&amp;C </w:t>
      </w:r>
      <w:r w:rsidR="007D51B6">
        <w:rPr>
          <w:sz w:val="26"/>
          <w:szCs w:val="26"/>
        </w:rPr>
        <w:t xml:space="preserve">program </w:t>
      </w:r>
      <w:r w:rsidRPr="002778DE">
        <w:rPr>
          <w:sz w:val="26"/>
          <w:szCs w:val="26"/>
        </w:rPr>
        <w:t>experience</w:t>
      </w:r>
      <w:r w:rsidR="007D51B6">
        <w:rPr>
          <w:sz w:val="26"/>
          <w:szCs w:val="26"/>
        </w:rPr>
        <w:t>s</w:t>
      </w:r>
      <w:r w:rsidRPr="002778DE">
        <w:rPr>
          <w:sz w:val="26"/>
          <w:szCs w:val="26"/>
        </w:rPr>
        <w:t xml:space="preserve"> in Pennsylvania or the region</w:t>
      </w:r>
      <w:r w:rsidR="007D51B6">
        <w:rPr>
          <w:sz w:val="26"/>
          <w:szCs w:val="26"/>
        </w:rPr>
        <w:t xml:space="preserve"> around Pennsylvania</w:t>
      </w:r>
      <w:r w:rsidRPr="002778DE">
        <w:rPr>
          <w:sz w:val="26"/>
          <w:szCs w:val="26"/>
        </w:rPr>
        <w:t xml:space="preserve">.  The Commission </w:t>
      </w:r>
      <w:r w:rsidR="004B4C9F">
        <w:rPr>
          <w:sz w:val="26"/>
          <w:szCs w:val="26"/>
        </w:rPr>
        <w:t>adopts</w:t>
      </w:r>
      <w:r w:rsidRPr="002778DE">
        <w:rPr>
          <w:sz w:val="26"/>
          <w:szCs w:val="26"/>
        </w:rPr>
        <w:t xml:space="preserve"> these recommendations and direct</w:t>
      </w:r>
      <w:r w:rsidR="00535698">
        <w:rPr>
          <w:sz w:val="26"/>
          <w:szCs w:val="26"/>
        </w:rPr>
        <w:t>s</w:t>
      </w:r>
      <w:r w:rsidRPr="002778DE">
        <w:rPr>
          <w:sz w:val="26"/>
          <w:szCs w:val="26"/>
        </w:rPr>
        <w:t xml:space="preserve"> that</w:t>
      </w:r>
      <w:r w:rsidR="004B4C9F">
        <w:rPr>
          <w:sz w:val="26"/>
          <w:szCs w:val="26"/>
        </w:rPr>
        <w:t>, in the future,</w:t>
      </w:r>
      <w:r w:rsidRPr="002778DE">
        <w:rPr>
          <w:sz w:val="26"/>
          <w:szCs w:val="26"/>
        </w:rPr>
        <w:t xml:space="preserve"> any new measures proposed to be incorporated into the TRM be discussed and vetted in the TWG</w:t>
      </w:r>
      <w:r w:rsidR="004B4C9F">
        <w:rPr>
          <w:sz w:val="26"/>
          <w:szCs w:val="26"/>
        </w:rPr>
        <w:t>, including</w:t>
      </w:r>
      <w:r w:rsidRPr="002778DE">
        <w:rPr>
          <w:sz w:val="26"/>
          <w:szCs w:val="26"/>
        </w:rPr>
        <w:t xml:space="preserve"> any changes in baseline values.  </w:t>
      </w:r>
      <w:r w:rsidR="004B4C9F">
        <w:rPr>
          <w:sz w:val="26"/>
          <w:szCs w:val="26"/>
        </w:rPr>
        <w:t>The Commission</w:t>
      </w:r>
      <w:r w:rsidRPr="002778DE">
        <w:rPr>
          <w:sz w:val="26"/>
          <w:szCs w:val="26"/>
        </w:rPr>
        <w:t xml:space="preserve"> adopt</w:t>
      </w:r>
      <w:r w:rsidR="004B4C9F">
        <w:rPr>
          <w:sz w:val="26"/>
          <w:szCs w:val="26"/>
        </w:rPr>
        <w:t>s</w:t>
      </w:r>
      <w:r w:rsidRPr="002778DE">
        <w:rPr>
          <w:sz w:val="26"/>
          <w:szCs w:val="26"/>
        </w:rPr>
        <w:t xml:space="preserve"> this position </w:t>
      </w:r>
      <w:r w:rsidR="00535698">
        <w:rPr>
          <w:sz w:val="26"/>
          <w:szCs w:val="26"/>
        </w:rPr>
        <w:t>as</w:t>
      </w:r>
      <w:r w:rsidRPr="002778DE">
        <w:rPr>
          <w:sz w:val="26"/>
          <w:szCs w:val="26"/>
        </w:rPr>
        <w:t xml:space="preserve"> the TWG affords a reasonable forum for parties to advance new measures and changes</w:t>
      </w:r>
      <w:r w:rsidR="007D51B6">
        <w:rPr>
          <w:sz w:val="26"/>
          <w:szCs w:val="26"/>
        </w:rPr>
        <w:t xml:space="preserve"> for TRM</w:t>
      </w:r>
      <w:r w:rsidR="004B4C9F">
        <w:rPr>
          <w:sz w:val="26"/>
          <w:szCs w:val="26"/>
        </w:rPr>
        <w:t>.  It also allows for</w:t>
      </w:r>
      <w:r w:rsidRPr="002778DE">
        <w:rPr>
          <w:sz w:val="26"/>
          <w:szCs w:val="26"/>
        </w:rPr>
        <w:t xml:space="preserve"> open technical discussion</w:t>
      </w:r>
      <w:r w:rsidR="007D51B6">
        <w:rPr>
          <w:sz w:val="26"/>
          <w:szCs w:val="26"/>
        </w:rPr>
        <w:t>s</w:t>
      </w:r>
      <w:r w:rsidRPr="002778DE">
        <w:rPr>
          <w:sz w:val="26"/>
          <w:szCs w:val="26"/>
        </w:rPr>
        <w:t xml:space="preserve"> </w:t>
      </w:r>
      <w:r w:rsidR="007D51B6">
        <w:rPr>
          <w:sz w:val="26"/>
          <w:szCs w:val="26"/>
        </w:rPr>
        <w:t>to fully vet</w:t>
      </w:r>
      <w:r w:rsidRPr="002778DE">
        <w:rPr>
          <w:sz w:val="26"/>
          <w:szCs w:val="26"/>
        </w:rPr>
        <w:t xml:space="preserve"> support</w:t>
      </w:r>
      <w:r w:rsidR="00695425">
        <w:rPr>
          <w:sz w:val="26"/>
          <w:szCs w:val="26"/>
        </w:rPr>
        <w:t>ing</w:t>
      </w:r>
      <w:r w:rsidRPr="002778DE">
        <w:rPr>
          <w:sz w:val="26"/>
          <w:szCs w:val="26"/>
        </w:rPr>
        <w:t xml:space="preserve"> </w:t>
      </w:r>
      <w:r w:rsidR="00695425">
        <w:rPr>
          <w:sz w:val="26"/>
          <w:szCs w:val="26"/>
        </w:rPr>
        <w:t>data</w:t>
      </w:r>
      <w:r w:rsidRPr="002778DE">
        <w:rPr>
          <w:sz w:val="26"/>
          <w:szCs w:val="26"/>
        </w:rPr>
        <w:t xml:space="preserve"> and documentation to arrive at </w:t>
      </w:r>
      <w:r w:rsidR="00695425">
        <w:rPr>
          <w:sz w:val="26"/>
          <w:szCs w:val="26"/>
        </w:rPr>
        <w:t>credible</w:t>
      </w:r>
      <w:r w:rsidRPr="002778DE">
        <w:rPr>
          <w:sz w:val="26"/>
          <w:szCs w:val="26"/>
        </w:rPr>
        <w:t xml:space="preserve"> energy saving values that can then be </w:t>
      </w:r>
      <w:r w:rsidR="004B4C9F">
        <w:rPr>
          <w:sz w:val="26"/>
          <w:szCs w:val="26"/>
        </w:rPr>
        <w:t>recommended for</w:t>
      </w:r>
      <w:r w:rsidRPr="002778DE">
        <w:rPr>
          <w:sz w:val="26"/>
          <w:szCs w:val="26"/>
        </w:rPr>
        <w:t xml:space="preserve"> </w:t>
      </w:r>
      <w:r w:rsidR="00695425">
        <w:rPr>
          <w:sz w:val="26"/>
          <w:szCs w:val="26"/>
        </w:rPr>
        <w:t xml:space="preserve">inclusion in </w:t>
      </w:r>
      <w:r w:rsidRPr="002778DE">
        <w:rPr>
          <w:sz w:val="26"/>
          <w:szCs w:val="26"/>
        </w:rPr>
        <w:t>subsequent TRM updates.</w:t>
      </w:r>
    </w:p>
    <w:p w:rsidR="004B4C9F" w:rsidRPr="002778DE" w:rsidRDefault="004B4C9F" w:rsidP="002778DE">
      <w:pPr>
        <w:pStyle w:val="p3"/>
        <w:spacing w:line="360" w:lineRule="auto"/>
        <w:ind w:firstLine="720"/>
        <w:rPr>
          <w:sz w:val="26"/>
          <w:szCs w:val="26"/>
        </w:rPr>
      </w:pPr>
    </w:p>
    <w:p w:rsidR="002778DE" w:rsidRPr="002778DE" w:rsidRDefault="002778DE" w:rsidP="00695425">
      <w:pPr>
        <w:pStyle w:val="p3"/>
        <w:tabs>
          <w:tab w:val="clear" w:pos="204"/>
          <w:tab w:val="left" w:pos="-2880"/>
        </w:tabs>
        <w:spacing w:line="360" w:lineRule="auto"/>
        <w:ind w:firstLine="720"/>
        <w:rPr>
          <w:sz w:val="26"/>
          <w:szCs w:val="26"/>
        </w:rPr>
      </w:pPr>
      <w:r w:rsidRPr="002778DE">
        <w:rPr>
          <w:sz w:val="26"/>
          <w:szCs w:val="26"/>
        </w:rPr>
        <w:t xml:space="preserve">In conjunction with the expanded role of the TWG, the Commission wishes to clarify that the TWG is chaired by the </w:t>
      </w:r>
      <w:r w:rsidR="004B4C9F">
        <w:rPr>
          <w:sz w:val="26"/>
          <w:szCs w:val="26"/>
        </w:rPr>
        <w:t xml:space="preserve">SWE.  The SWE </w:t>
      </w:r>
      <w:r w:rsidR="005A2205">
        <w:rPr>
          <w:sz w:val="26"/>
          <w:szCs w:val="26"/>
        </w:rPr>
        <w:t>chairs</w:t>
      </w:r>
      <w:r w:rsidRPr="002778DE">
        <w:rPr>
          <w:sz w:val="26"/>
          <w:szCs w:val="26"/>
        </w:rPr>
        <w:t xml:space="preserve"> the discussions in meetings</w:t>
      </w:r>
      <w:r w:rsidR="004B4C9F">
        <w:rPr>
          <w:sz w:val="26"/>
          <w:szCs w:val="26"/>
        </w:rPr>
        <w:t>, which should be</w:t>
      </w:r>
      <w:r w:rsidRPr="002778DE">
        <w:rPr>
          <w:sz w:val="26"/>
          <w:szCs w:val="26"/>
        </w:rPr>
        <w:t xml:space="preserve"> attended by Commission staff, EDC representatives and other </w:t>
      </w:r>
      <w:r w:rsidRPr="002778DE">
        <w:rPr>
          <w:sz w:val="26"/>
          <w:szCs w:val="26"/>
        </w:rPr>
        <w:lastRenderedPageBreak/>
        <w:t>parties</w:t>
      </w:r>
      <w:r w:rsidR="004B4C9F">
        <w:rPr>
          <w:sz w:val="26"/>
          <w:szCs w:val="26"/>
        </w:rPr>
        <w:t>,</w:t>
      </w:r>
      <w:r w:rsidRPr="002778DE">
        <w:rPr>
          <w:sz w:val="26"/>
          <w:szCs w:val="26"/>
        </w:rPr>
        <w:t xml:space="preserve"> for the purposes of arriving at deemed savings values that realistically represent the actual savings that ratepayers will realize when such measures are installed.</w:t>
      </w:r>
      <w:r w:rsidR="00695425">
        <w:rPr>
          <w:sz w:val="26"/>
          <w:szCs w:val="26"/>
        </w:rPr>
        <w:t xml:space="preserve">  </w:t>
      </w:r>
      <w:r w:rsidRPr="002778DE">
        <w:rPr>
          <w:sz w:val="26"/>
          <w:szCs w:val="26"/>
        </w:rPr>
        <w:t xml:space="preserve">The Commission will also </w:t>
      </w:r>
      <w:r w:rsidR="00695425">
        <w:rPr>
          <w:sz w:val="26"/>
          <w:szCs w:val="26"/>
        </w:rPr>
        <w:t>direct</w:t>
      </w:r>
      <w:r w:rsidR="00BE3667">
        <w:rPr>
          <w:sz w:val="26"/>
          <w:szCs w:val="26"/>
        </w:rPr>
        <w:t>s</w:t>
      </w:r>
      <w:r w:rsidR="00695425">
        <w:rPr>
          <w:sz w:val="26"/>
          <w:szCs w:val="26"/>
        </w:rPr>
        <w:t xml:space="preserve"> that any items suggested for inclusion in the 2011 TRM that were not adopted </w:t>
      </w:r>
      <w:r w:rsidR="00BE3667">
        <w:rPr>
          <w:sz w:val="26"/>
          <w:szCs w:val="26"/>
        </w:rPr>
        <w:t xml:space="preserve">be </w:t>
      </w:r>
      <w:r w:rsidRPr="002778DE">
        <w:rPr>
          <w:sz w:val="26"/>
          <w:szCs w:val="26"/>
        </w:rPr>
        <w:t>refer</w:t>
      </w:r>
      <w:r w:rsidR="00BE3667">
        <w:rPr>
          <w:sz w:val="26"/>
          <w:szCs w:val="26"/>
        </w:rPr>
        <w:t>red</w:t>
      </w:r>
      <w:r w:rsidRPr="002778DE">
        <w:rPr>
          <w:sz w:val="26"/>
          <w:szCs w:val="26"/>
        </w:rPr>
        <w:t xml:space="preserve"> to the TWG </w:t>
      </w:r>
      <w:r w:rsidR="00BE3667">
        <w:rPr>
          <w:sz w:val="26"/>
          <w:szCs w:val="26"/>
        </w:rPr>
        <w:t>for further discussions and review for inclusion in future TRM updates.</w:t>
      </w:r>
    </w:p>
    <w:p w:rsidR="00A30D6C" w:rsidRDefault="00A30D6C" w:rsidP="006B5753">
      <w:pPr>
        <w:pStyle w:val="p3"/>
        <w:tabs>
          <w:tab w:val="clear" w:pos="204"/>
        </w:tabs>
        <w:spacing w:line="360" w:lineRule="auto"/>
        <w:rPr>
          <w:b/>
          <w:sz w:val="26"/>
          <w:szCs w:val="26"/>
        </w:rPr>
      </w:pPr>
    </w:p>
    <w:p w:rsidR="006B5753" w:rsidRPr="006B7995" w:rsidRDefault="00DE5428" w:rsidP="006B5753">
      <w:pPr>
        <w:pStyle w:val="p3"/>
        <w:tabs>
          <w:tab w:val="clear" w:pos="204"/>
        </w:tabs>
        <w:spacing w:line="360" w:lineRule="auto"/>
        <w:rPr>
          <w:b/>
          <w:sz w:val="26"/>
          <w:szCs w:val="26"/>
        </w:rPr>
      </w:pPr>
      <w:r w:rsidRPr="006B7995">
        <w:rPr>
          <w:b/>
          <w:sz w:val="26"/>
          <w:szCs w:val="26"/>
        </w:rPr>
        <w:t>J</w:t>
      </w:r>
      <w:r w:rsidR="006B5753" w:rsidRPr="006B7995">
        <w:rPr>
          <w:b/>
          <w:sz w:val="26"/>
          <w:szCs w:val="26"/>
        </w:rPr>
        <w:t xml:space="preserve">.  </w:t>
      </w:r>
      <w:r w:rsidR="00BE3667">
        <w:rPr>
          <w:b/>
          <w:sz w:val="26"/>
          <w:szCs w:val="26"/>
        </w:rPr>
        <w:tab/>
      </w:r>
      <w:r w:rsidR="00274B50" w:rsidRPr="006B7995">
        <w:rPr>
          <w:b/>
          <w:sz w:val="26"/>
          <w:szCs w:val="26"/>
        </w:rPr>
        <w:t>Application of Recent Baseline Data Changes</w:t>
      </w:r>
      <w:r w:rsidR="007C320A" w:rsidRPr="006B7995">
        <w:rPr>
          <w:b/>
          <w:sz w:val="26"/>
          <w:szCs w:val="26"/>
        </w:rPr>
        <w:t xml:space="preserve"> </w:t>
      </w:r>
    </w:p>
    <w:p w:rsidR="00E14317" w:rsidRPr="00BE3667" w:rsidRDefault="00E14317" w:rsidP="006B5753">
      <w:pPr>
        <w:pStyle w:val="p3"/>
        <w:tabs>
          <w:tab w:val="clear" w:pos="204"/>
        </w:tabs>
        <w:spacing w:line="360" w:lineRule="auto"/>
        <w:rPr>
          <w:sz w:val="26"/>
          <w:szCs w:val="26"/>
        </w:rPr>
      </w:pPr>
    </w:p>
    <w:p w:rsidR="006B5753" w:rsidRPr="006B7995" w:rsidRDefault="003E6599" w:rsidP="006B5753">
      <w:pPr>
        <w:pStyle w:val="p3"/>
        <w:tabs>
          <w:tab w:val="clear" w:pos="204"/>
        </w:tabs>
        <w:spacing w:line="360" w:lineRule="auto"/>
        <w:ind w:firstLine="720"/>
        <w:rPr>
          <w:sz w:val="26"/>
          <w:szCs w:val="26"/>
        </w:rPr>
      </w:pPr>
      <w:r>
        <w:rPr>
          <w:sz w:val="26"/>
          <w:szCs w:val="26"/>
        </w:rPr>
        <w:t xml:space="preserve">In the proposed 2011 TRM update, the Commission proposed new baseline values for several </w:t>
      </w:r>
      <w:r w:rsidR="006F1ED0">
        <w:rPr>
          <w:sz w:val="26"/>
          <w:szCs w:val="26"/>
        </w:rPr>
        <w:t xml:space="preserve">measures contained in prior TRMs.  </w:t>
      </w:r>
      <w:r w:rsidR="0021471C">
        <w:rPr>
          <w:sz w:val="26"/>
          <w:szCs w:val="26"/>
        </w:rPr>
        <w:t xml:space="preserve">Furthermore, in the </w:t>
      </w:r>
      <w:r w:rsidR="0021471C" w:rsidRPr="0021471C">
        <w:rPr>
          <w:i/>
          <w:sz w:val="26"/>
          <w:szCs w:val="26"/>
        </w:rPr>
        <w:t>Tentative Order</w:t>
      </w:r>
      <w:r w:rsidR="0021471C">
        <w:rPr>
          <w:sz w:val="26"/>
          <w:szCs w:val="26"/>
        </w:rPr>
        <w:t>,</w:t>
      </w:r>
      <w:r w:rsidR="0021471C">
        <w:rPr>
          <w:rStyle w:val="FootnoteReference"/>
          <w:sz w:val="26"/>
          <w:szCs w:val="26"/>
        </w:rPr>
        <w:footnoteReference w:id="30"/>
      </w:r>
      <w:r w:rsidR="0021471C">
        <w:rPr>
          <w:sz w:val="26"/>
          <w:szCs w:val="26"/>
        </w:rPr>
        <w:t xml:space="preserve"> the Commission sought input on how to address changing baseline values.  </w:t>
      </w:r>
      <w:r w:rsidR="00274B50" w:rsidRPr="006B7995">
        <w:rPr>
          <w:sz w:val="26"/>
          <w:szCs w:val="26"/>
        </w:rPr>
        <w:t>The Commission recognizes that the use of the most recent baseline data may result in lower deemed savings.  The lowering of the deemed savings may require the deployment of additional measures to meet statutorily mandated targets.  The Commission, however, also recognizes the need to ensure that the ratepayers are getting the energy savings, and the associated energy market effects</w:t>
      </w:r>
      <w:r w:rsidR="00A40BE1">
        <w:rPr>
          <w:sz w:val="26"/>
          <w:szCs w:val="26"/>
        </w:rPr>
        <w:t xml:space="preserve"> for which they are paying</w:t>
      </w:r>
      <w:r w:rsidR="00274B50" w:rsidRPr="006B7995">
        <w:rPr>
          <w:sz w:val="26"/>
          <w:szCs w:val="26"/>
        </w:rPr>
        <w:t xml:space="preserve">.  The Commission </w:t>
      </w:r>
      <w:r w:rsidR="00BC7FBC" w:rsidRPr="006B7995">
        <w:rPr>
          <w:sz w:val="26"/>
          <w:szCs w:val="26"/>
        </w:rPr>
        <w:t>sought</w:t>
      </w:r>
      <w:r w:rsidR="00274B50" w:rsidRPr="006B7995">
        <w:rPr>
          <w:sz w:val="26"/>
          <w:szCs w:val="26"/>
        </w:rPr>
        <w:t xml:space="preserve"> comments on how to fairly address the tradeoff between the use of baseline data derived from more recent data that reflects a more accurate assessment of current energy savings and the possibility that such adjustments may require greater market penetration to meet mandated goals.</w:t>
      </w:r>
      <w:r w:rsidR="006B5753" w:rsidRPr="006B7995">
        <w:rPr>
          <w:sz w:val="26"/>
          <w:szCs w:val="26"/>
        </w:rPr>
        <w:t xml:space="preserve">  </w:t>
      </w:r>
    </w:p>
    <w:p w:rsidR="006B5753" w:rsidRPr="006B7995" w:rsidRDefault="006B5753" w:rsidP="006B5753">
      <w:pPr>
        <w:pStyle w:val="p3"/>
        <w:tabs>
          <w:tab w:val="clear" w:pos="204"/>
        </w:tabs>
        <w:spacing w:line="360" w:lineRule="auto"/>
        <w:rPr>
          <w:sz w:val="26"/>
          <w:szCs w:val="26"/>
        </w:rPr>
      </w:pPr>
    </w:p>
    <w:p w:rsidR="006B5753" w:rsidRPr="006B7995" w:rsidRDefault="006B5753" w:rsidP="00FA47F0">
      <w:pPr>
        <w:pStyle w:val="p3"/>
        <w:numPr>
          <w:ilvl w:val="0"/>
          <w:numId w:val="27"/>
        </w:numPr>
        <w:tabs>
          <w:tab w:val="clear" w:pos="204"/>
        </w:tabs>
        <w:spacing w:line="360" w:lineRule="auto"/>
        <w:ind w:left="1440" w:hanging="720"/>
        <w:rPr>
          <w:b/>
          <w:sz w:val="26"/>
          <w:szCs w:val="26"/>
        </w:rPr>
      </w:pPr>
      <w:r w:rsidRPr="006B7995">
        <w:rPr>
          <w:b/>
          <w:sz w:val="26"/>
          <w:szCs w:val="26"/>
        </w:rPr>
        <w:t>Comments</w:t>
      </w:r>
    </w:p>
    <w:p w:rsidR="006B5753" w:rsidRPr="006B7995" w:rsidRDefault="006B5753" w:rsidP="006B5753">
      <w:pPr>
        <w:pStyle w:val="p3"/>
        <w:tabs>
          <w:tab w:val="clear" w:pos="204"/>
        </w:tabs>
        <w:spacing w:line="360" w:lineRule="auto"/>
        <w:rPr>
          <w:sz w:val="26"/>
          <w:szCs w:val="26"/>
        </w:rPr>
      </w:pPr>
    </w:p>
    <w:p w:rsidR="00BC7FBC" w:rsidRPr="006B7995" w:rsidRDefault="00CE50BD" w:rsidP="006B5753">
      <w:pPr>
        <w:pStyle w:val="p3"/>
        <w:tabs>
          <w:tab w:val="clear" w:pos="204"/>
        </w:tabs>
        <w:spacing w:line="360" w:lineRule="auto"/>
        <w:rPr>
          <w:sz w:val="26"/>
          <w:szCs w:val="26"/>
        </w:rPr>
      </w:pPr>
      <w:r w:rsidRPr="006B7995">
        <w:rPr>
          <w:sz w:val="26"/>
          <w:szCs w:val="26"/>
        </w:rPr>
        <w:tab/>
        <w:t xml:space="preserve">Of the eight </w:t>
      </w:r>
      <w:r w:rsidR="003E6599">
        <w:rPr>
          <w:sz w:val="26"/>
          <w:szCs w:val="26"/>
        </w:rPr>
        <w:t>Commenters</w:t>
      </w:r>
      <w:r w:rsidRPr="006B7995">
        <w:rPr>
          <w:sz w:val="26"/>
          <w:szCs w:val="26"/>
        </w:rPr>
        <w:t xml:space="preserve">, six opposed the application of any baseline changes before the next Act 129 compliance period beginning June 1, 2013. </w:t>
      </w:r>
      <w:r w:rsidR="003E6599">
        <w:rPr>
          <w:sz w:val="26"/>
          <w:szCs w:val="26"/>
        </w:rPr>
        <w:t xml:space="preserve"> </w:t>
      </w:r>
      <w:r w:rsidRPr="006B7995">
        <w:rPr>
          <w:sz w:val="26"/>
          <w:szCs w:val="26"/>
        </w:rPr>
        <w:t xml:space="preserve">(Allegheny Power </w:t>
      </w:r>
      <w:r w:rsidR="00FA47F0">
        <w:rPr>
          <w:sz w:val="26"/>
          <w:szCs w:val="26"/>
        </w:rPr>
        <w:t>C</w:t>
      </w:r>
      <w:r w:rsidRPr="006B7995">
        <w:rPr>
          <w:sz w:val="26"/>
          <w:szCs w:val="26"/>
        </w:rPr>
        <w:t xml:space="preserve">omments at </w:t>
      </w:r>
      <w:r w:rsidR="00047474" w:rsidRPr="006B7995">
        <w:rPr>
          <w:sz w:val="26"/>
          <w:szCs w:val="26"/>
        </w:rPr>
        <w:t xml:space="preserve">3, Duquesne </w:t>
      </w:r>
      <w:r w:rsidR="00FA47F0">
        <w:rPr>
          <w:sz w:val="26"/>
          <w:szCs w:val="26"/>
        </w:rPr>
        <w:t>C</w:t>
      </w:r>
      <w:r w:rsidR="00047474" w:rsidRPr="006B7995">
        <w:rPr>
          <w:sz w:val="26"/>
          <w:szCs w:val="26"/>
        </w:rPr>
        <w:t xml:space="preserve">omments at 2, EAPA </w:t>
      </w:r>
      <w:r w:rsidR="00FA47F0">
        <w:rPr>
          <w:sz w:val="26"/>
          <w:szCs w:val="26"/>
        </w:rPr>
        <w:t>C</w:t>
      </w:r>
      <w:r w:rsidR="00047474" w:rsidRPr="006B7995">
        <w:rPr>
          <w:sz w:val="26"/>
          <w:szCs w:val="26"/>
        </w:rPr>
        <w:t xml:space="preserve">omments at 8, FirstEnergy </w:t>
      </w:r>
      <w:r w:rsidR="00FA47F0">
        <w:rPr>
          <w:sz w:val="26"/>
          <w:szCs w:val="26"/>
        </w:rPr>
        <w:t>C</w:t>
      </w:r>
      <w:r w:rsidR="00047474" w:rsidRPr="006B7995">
        <w:rPr>
          <w:sz w:val="26"/>
          <w:szCs w:val="26"/>
        </w:rPr>
        <w:t xml:space="preserve">omments at 5, PECO </w:t>
      </w:r>
      <w:r w:rsidR="00FA47F0">
        <w:rPr>
          <w:sz w:val="26"/>
          <w:szCs w:val="26"/>
        </w:rPr>
        <w:t>R</w:t>
      </w:r>
      <w:r w:rsidR="00047474" w:rsidRPr="006B7995">
        <w:rPr>
          <w:sz w:val="26"/>
          <w:szCs w:val="26"/>
        </w:rPr>
        <w:t xml:space="preserve">eply </w:t>
      </w:r>
      <w:r w:rsidR="00FA47F0">
        <w:rPr>
          <w:sz w:val="26"/>
          <w:szCs w:val="26"/>
        </w:rPr>
        <w:t>C</w:t>
      </w:r>
      <w:r w:rsidR="00047474" w:rsidRPr="006B7995">
        <w:rPr>
          <w:sz w:val="26"/>
          <w:szCs w:val="26"/>
        </w:rPr>
        <w:t xml:space="preserve">omments at 2, </w:t>
      </w:r>
      <w:r w:rsidR="00FA47F0">
        <w:rPr>
          <w:sz w:val="26"/>
          <w:szCs w:val="26"/>
        </w:rPr>
        <w:t xml:space="preserve">and </w:t>
      </w:r>
      <w:r w:rsidR="00047474" w:rsidRPr="006B7995">
        <w:rPr>
          <w:sz w:val="26"/>
          <w:szCs w:val="26"/>
        </w:rPr>
        <w:t xml:space="preserve">PPL </w:t>
      </w:r>
      <w:r w:rsidR="00FA47F0">
        <w:rPr>
          <w:sz w:val="26"/>
          <w:szCs w:val="26"/>
        </w:rPr>
        <w:t>C</w:t>
      </w:r>
      <w:r w:rsidR="00047474" w:rsidRPr="006B7995">
        <w:rPr>
          <w:sz w:val="26"/>
          <w:szCs w:val="26"/>
        </w:rPr>
        <w:t xml:space="preserve">omments at </w:t>
      </w:r>
      <w:r w:rsidR="00425B50" w:rsidRPr="006B7995">
        <w:rPr>
          <w:sz w:val="26"/>
          <w:szCs w:val="26"/>
        </w:rPr>
        <w:t>47</w:t>
      </w:r>
      <w:r w:rsidR="00FA47F0">
        <w:rPr>
          <w:sz w:val="26"/>
          <w:szCs w:val="26"/>
        </w:rPr>
        <w:t>.</w:t>
      </w:r>
      <w:r w:rsidR="00AB1940" w:rsidRPr="006B7995">
        <w:rPr>
          <w:sz w:val="26"/>
          <w:szCs w:val="26"/>
        </w:rPr>
        <w:t xml:space="preserve">)  </w:t>
      </w:r>
      <w:r w:rsidR="00FA47F0">
        <w:rPr>
          <w:sz w:val="26"/>
          <w:szCs w:val="26"/>
        </w:rPr>
        <w:t>The</w:t>
      </w:r>
      <w:r w:rsidR="00AB1940" w:rsidRPr="006B7995">
        <w:rPr>
          <w:sz w:val="26"/>
          <w:szCs w:val="26"/>
        </w:rPr>
        <w:t xml:space="preserve"> EAPA</w:t>
      </w:r>
      <w:r w:rsidR="00FA47F0">
        <w:rPr>
          <w:sz w:val="26"/>
          <w:szCs w:val="26"/>
        </w:rPr>
        <w:t xml:space="preserve"> stated that s</w:t>
      </w:r>
      <w:r w:rsidR="00AB1940" w:rsidRPr="006B7995">
        <w:rPr>
          <w:sz w:val="26"/>
          <w:szCs w:val="26"/>
        </w:rPr>
        <w:t xml:space="preserve">ignificant midcourse changes </w:t>
      </w:r>
      <w:r w:rsidR="00FA47F0">
        <w:rPr>
          <w:sz w:val="26"/>
          <w:szCs w:val="26"/>
        </w:rPr>
        <w:t xml:space="preserve">to the TRM </w:t>
      </w:r>
      <w:r w:rsidR="00AB1940" w:rsidRPr="006B7995">
        <w:rPr>
          <w:sz w:val="26"/>
          <w:szCs w:val="26"/>
        </w:rPr>
        <w:t xml:space="preserve">may lead to situations where EDCs </w:t>
      </w:r>
      <w:r w:rsidR="00AB1940" w:rsidRPr="006B7995">
        <w:rPr>
          <w:sz w:val="26"/>
          <w:szCs w:val="26"/>
        </w:rPr>
        <w:lastRenderedPageBreak/>
        <w:t xml:space="preserve">are faced with exceeding budgetary caps, falling short of mandated targets, becoming subject to penalties </w:t>
      </w:r>
      <w:r w:rsidR="00FA47F0">
        <w:rPr>
          <w:sz w:val="26"/>
          <w:szCs w:val="26"/>
        </w:rPr>
        <w:t>or</w:t>
      </w:r>
      <w:r w:rsidR="00AB1940" w:rsidRPr="006B7995">
        <w:rPr>
          <w:sz w:val="26"/>
          <w:szCs w:val="26"/>
        </w:rPr>
        <w:t xml:space="preserve"> facing loss of public confidence in energy efficiency and conservation programs in an effort to adhere to a standard which was not in place at the time the </w:t>
      </w:r>
      <w:r w:rsidR="0088042D">
        <w:rPr>
          <w:sz w:val="26"/>
          <w:szCs w:val="26"/>
        </w:rPr>
        <w:t>EDCs’</w:t>
      </w:r>
      <w:r w:rsidR="00AB1940" w:rsidRPr="006B7995">
        <w:rPr>
          <w:sz w:val="26"/>
          <w:szCs w:val="26"/>
        </w:rPr>
        <w:t xml:space="preserve"> plan</w:t>
      </w:r>
      <w:r w:rsidR="0088042D">
        <w:rPr>
          <w:sz w:val="26"/>
          <w:szCs w:val="26"/>
        </w:rPr>
        <w:t>s</w:t>
      </w:r>
      <w:r w:rsidR="00AB1940" w:rsidRPr="006B7995">
        <w:rPr>
          <w:sz w:val="26"/>
          <w:szCs w:val="26"/>
        </w:rPr>
        <w:t xml:space="preserve"> w</w:t>
      </w:r>
      <w:r w:rsidR="0088042D">
        <w:rPr>
          <w:sz w:val="26"/>
          <w:szCs w:val="26"/>
        </w:rPr>
        <w:t>ere</w:t>
      </w:r>
      <w:r w:rsidR="00AB1940" w:rsidRPr="006B7995">
        <w:rPr>
          <w:sz w:val="26"/>
          <w:szCs w:val="26"/>
        </w:rPr>
        <w:t xml:space="preserve"> approved by the Commission.</w:t>
      </w:r>
      <w:r w:rsidR="0088042D">
        <w:rPr>
          <w:sz w:val="26"/>
          <w:szCs w:val="26"/>
        </w:rPr>
        <w:t xml:space="preserve"> </w:t>
      </w:r>
      <w:r w:rsidR="00AB1940" w:rsidRPr="006B7995">
        <w:rPr>
          <w:sz w:val="26"/>
          <w:szCs w:val="26"/>
        </w:rPr>
        <w:t xml:space="preserve"> </w:t>
      </w:r>
      <w:proofErr w:type="gramStart"/>
      <w:r w:rsidR="00AB1940" w:rsidRPr="006B7995">
        <w:rPr>
          <w:sz w:val="26"/>
          <w:szCs w:val="26"/>
        </w:rPr>
        <w:t xml:space="preserve">(EAPA </w:t>
      </w:r>
      <w:r w:rsidR="0088042D">
        <w:rPr>
          <w:sz w:val="26"/>
          <w:szCs w:val="26"/>
        </w:rPr>
        <w:t>C</w:t>
      </w:r>
      <w:r w:rsidR="00AB1940" w:rsidRPr="006B7995">
        <w:rPr>
          <w:sz w:val="26"/>
          <w:szCs w:val="26"/>
        </w:rPr>
        <w:t>omments at 7</w:t>
      </w:r>
      <w:r w:rsidR="0088042D">
        <w:rPr>
          <w:sz w:val="26"/>
          <w:szCs w:val="26"/>
        </w:rPr>
        <w:t>.</w:t>
      </w:r>
      <w:r w:rsidR="00AB1940" w:rsidRPr="006B7995">
        <w:rPr>
          <w:sz w:val="26"/>
          <w:szCs w:val="26"/>
        </w:rPr>
        <w:t>)</w:t>
      </w:r>
      <w:proofErr w:type="gramEnd"/>
      <w:r w:rsidR="00BA1D43" w:rsidRPr="006B7995">
        <w:rPr>
          <w:sz w:val="26"/>
          <w:szCs w:val="26"/>
        </w:rPr>
        <w:t xml:space="preserve">  Many of the </w:t>
      </w:r>
      <w:r w:rsidR="0088042D">
        <w:rPr>
          <w:sz w:val="26"/>
          <w:szCs w:val="26"/>
        </w:rPr>
        <w:t>Commenters</w:t>
      </w:r>
      <w:r w:rsidR="00BA1D43" w:rsidRPr="006B7995">
        <w:rPr>
          <w:sz w:val="26"/>
          <w:szCs w:val="26"/>
        </w:rPr>
        <w:t xml:space="preserve"> </w:t>
      </w:r>
      <w:r w:rsidR="0088042D">
        <w:rPr>
          <w:sz w:val="26"/>
          <w:szCs w:val="26"/>
        </w:rPr>
        <w:t>stated</w:t>
      </w:r>
      <w:r w:rsidR="00BA1D43" w:rsidRPr="006B7995">
        <w:rPr>
          <w:sz w:val="26"/>
          <w:szCs w:val="26"/>
        </w:rPr>
        <w:t xml:space="preserve"> that the implementation of new baselines would be both time consuming and burdensome as the EDCs would h</w:t>
      </w:r>
      <w:r w:rsidR="002F2C63" w:rsidRPr="006B7995">
        <w:rPr>
          <w:sz w:val="26"/>
          <w:szCs w:val="26"/>
        </w:rPr>
        <w:t xml:space="preserve">ave to draft and file updated EE&amp;C plans with the Commission, await Commission approval and execute program changes in a timely fashion. </w:t>
      </w:r>
      <w:r w:rsidR="0088042D">
        <w:rPr>
          <w:sz w:val="26"/>
          <w:szCs w:val="26"/>
        </w:rPr>
        <w:t xml:space="preserve"> </w:t>
      </w:r>
      <w:r w:rsidR="002F2C63" w:rsidRPr="006B7995">
        <w:rPr>
          <w:sz w:val="26"/>
          <w:szCs w:val="26"/>
        </w:rPr>
        <w:t xml:space="preserve">(Allegheny Power </w:t>
      </w:r>
      <w:r w:rsidR="0088042D">
        <w:rPr>
          <w:sz w:val="26"/>
          <w:szCs w:val="26"/>
        </w:rPr>
        <w:t xml:space="preserve">Comments at </w:t>
      </w:r>
      <w:r w:rsidR="002F2C63" w:rsidRPr="006B7995">
        <w:rPr>
          <w:sz w:val="26"/>
          <w:szCs w:val="26"/>
        </w:rPr>
        <w:t>3</w:t>
      </w:r>
      <w:r w:rsidR="0088042D">
        <w:rPr>
          <w:sz w:val="26"/>
          <w:szCs w:val="26"/>
        </w:rPr>
        <w:t xml:space="preserve"> and </w:t>
      </w:r>
      <w:r w:rsidR="002F2C63" w:rsidRPr="006B7995">
        <w:rPr>
          <w:sz w:val="26"/>
          <w:szCs w:val="26"/>
        </w:rPr>
        <w:t xml:space="preserve">4, Duquesne </w:t>
      </w:r>
      <w:r w:rsidR="0088042D">
        <w:rPr>
          <w:sz w:val="26"/>
          <w:szCs w:val="26"/>
        </w:rPr>
        <w:t>C</w:t>
      </w:r>
      <w:r w:rsidR="002F2C63" w:rsidRPr="006B7995">
        <w:rPr>
          <w:sz w:val="26"/>
          <w:szCs w:val="26"/>
        </w:rPr>
        <w:t xml:space="preserve">omments at 2, </w:t>
      </w:r>
      <w:r w:rsidR="00103329" w:rsidRPr="006B7995">
        <w:rPr>
          <w:sz w:val="26"/>
          <w:szCs w:val="26"/>
        </w:rPr>
        <w:t xml:space="preserve">EAPA </w:t>
      </w:r>
      <w:r w:rsidR="0088042D">
        <w:rPr>
          <w:sz w:val="26"/>
          <w:szCs w:val="26"/>
        </w:rPr>
        <w:t>C</w:t>
      </w:r>
      <w:r w:rsidR="00103329" w:rsidRPr="006B7995">
        <w:rPr>
          <w:sz w:val="26"/>
          <w:szCs w:val="26"/>
        </w:rPr>
        <w:t xml:space="preserve">omments at 8, </w:t>
      </w:r>
      <w:r w:rsidR="0088042D">
        <w:rPr>
          <w:sz w:val="26"/>
          <w:szCs w:val="26"/>
        </w:rPr>
        <w:t xml:space="preserve">and </w:t>
      </w:r>
      <w:r w:rsidR="0058669A" w:rsidRPr="006B7995">
        <w:rPr>
          <w:sz w:val="26"/>
          <w:szCs w:val="26"/>
        </w:rPr>
        <w:t xml:space="preserve">FirstEnergy </w:t>
      </w:r>
      <w:r w:rsidR="0088042D">
        <w:rPr>
          <w:sz w:val="26"/>
          <w:szCs w:val="26"/>
        </w:rPr>
        <w:t>C</w:t>
      </w:r>
      <w:r w:rsidR="0058669A" w:rsidRPr="006B7995">
        <w:rPr>
          <w:sz w:val="26"/>
          <w:szCs w:val="26"/>
        </w:rPr>
        <w:t>omments at 4</w:t>
      </w:r>
      <w:r w:rsidR="0088042D">
        <w:rPr>
          <w:sz w:val="26"/>
          <w:szCs w:val="26"/>
        </w:rPr>
        <w:t xml:space="preserve"> and </w:t>
      </w:r>
      <w:r w:rsidR="0058669A" w:rsidRPr="006B7995">
        <w:rPr>
          <w:sz w:val="26"/>
          <w:szCs w:val="26"/>
        </w:rPr>
        <w:t>5</w:t>
      </w:r>
      <w:r w:rsidR="0088042D">
        <w:rPr>
          <w:sz w:val="26"/>
          <w:szCs w:val="26"/>
        </w:rPr>
        <w:t>.</w:t>
      </w:r>
      <w:r w:rsidR="00596A50" w:rsidRPr="006B7995">
        <w:rPr>
          <w:sz w:val="26"/>
          <w:szCs w:val="26"/>
        </w:rPr>
        <w:t>)</w:t>
      </w:r>
    </w:p>
    <w:p w:rsidR="00596A50" w:rsidRPr="006B7995" w:rsidRDefault="00596A50" w:rsidP="006B5753">
      <w:pPr>
        <w:pStyle w:val="p3"/>
        <w:tabs>
          <w:tab w:val="clear" w:pos="204"/>
        </w:tabs>
        <w:spacing w:line="360" w:lineRule="auto"/>
        <w:rPr>
          <w:sz w:val="26"/>
          <w:szCs w:val="26"/>
        </w:rPr>
      </w:pPr>
    </w:p>
    <w:p w:rsidR="00596A50" w:rsidRDefault="00596A50" w:rsidP="006B5753">
      <w:pPr>
        <w:pStyle w:val="p3"/>
        <w:tabs>
          <w:tab w:val="clear" w:pos="204"/>
        </w:tabs>
        <w:spacing w:line="360" w:lineRule="auto"/>
        <w:rPr>
          <w:sz w:val="26"/>
          <w:szCs w:val="26"/>
        </w:rPr>
      </w:pPr>
      <w:r w:rsidRPr="006B7995">
        <w:rPr>
          <w:sz w:val="26"/>
          <w:szCs w:val="26"/>
        </w:rPr>
        <w:tab/>
        <w:t xml:space="preserve">PECO suggested that, should a baseline change be approved, the </w:t>
      </w:r>
      <w:r w:rsidR="00E135C1">
        <w:rPr>
          <w:sz w:val="26"/>
          <w:szCs w:val="26"/>
        </w:rPr>
        <w:t xml:space="preserve">baseline revision </w:t>
      </w:r>
      <w:r w:rsidRPr="006B7995">
        <w:rPr>
          <w:sz w:val="26"/>
          <w:szCs w:val="26"/>
        </w:rPr>
        <w:t xml:space="preserve">should </w:t>
      </w:r>
      <w:proofErr w:type="gramStart"/>
      <w:r w:rsidRPr="006B7995">
        <w:rPr>
          <w:sz w:val="26"/>
          <w:szCs w:val="26"/>
        </w:rPr>
        <w:t>phase</w:t>
      </w:r>
      <w:r w:rsidR="00E135C1">
        <w:rPr>
          <w:sz w:val="26"/>
          <w:szCs w:val="26"/>
        </w:rPr>
        <w:t>d</w:t>
      </w:r>
      <w:proofErr w:type="gramEnd"/>
      <w:r w:rsidRPr="006B7995">
        <w:rPr>
          <w:sz w:val="26"/>
          <w:szCs w:val="26"/>
        </w:rPr>
        <w:t xml:space="preserve"> in over a 12-month period so that the EDCs </w:t>
      </w:r>
      <w:r w:rsidR="00E135C1">
        <w:rPr>
          <w:sz w:val="26"/>
          <w:szCs w:val="26"/>
        </w:rPr>
        <w:t xml:space="preserve">have time to review and </w:t>
      </w:r>
      <w:r w:rsidRPr="006B7995">
        <w:rPr>
          <w:sz w:val="26"/>
          <w:szCs w:val="26"/>
        </w:rPr>
        <w:t>update</w:t>
      </w:r>
      <w:r w:rsidR="00E135C1">
        <w:rPr>
          <w:sz w:val="26"/>
          <w:szCs w:val="26"/>
        </w:rPr>
        <w:t xml:space="preserve"> their</w:t>
      </w:r>
      <w:r w:rsidRPr="006B7995">
        <w:rPr>
          <w:sz w:val="26"/>
          <w:szCs w:val="26"/>
        </w:rPr>
        <w:t xml:space="preserve"> EE&amp;C plans. </w:t>
      </w:r>
      <w:r w:rsidR="00E135C1">
        <w:rPr>
          <w:sz w:val="26"/>
          <w:szCs w:val="26"/>
        </w:rPr>
        <w:t xml:space="preserve"> </w:t>
      </w:r>
      <w:proofErr w:type="gramStart"/>
      <w:r w:rsidRPr="006B7995">
        <w:rPr>
          <w:sz w:val="26"/>
          <w:szCs w:val="26"/>
        </w:rPr>
        <w:t xml:space="preserve">(PECO </w:t>
      </w:r>
      <w:r w:rsidR="00E135C1">
        <w:rPr>
          <w:sz w:val="26"/>
          <w:szCs w:val="26"/>
        </w:rPr>
        <w:t>C</w:t>
      </w:r>
      <w:r w:rsidRPr="006B7995">
        <w:rPr>
          <w:sz w:val="26"/>
          <w:szCs w:val="26"/>
        </w:rPr>
        <w:t>omments at 2</w:t>
      </w:r>
      <w:r w:rsidR="00E135C1">
        <w:rPr>
          <w:sz w:val="26"/>
          <w:szCs w:val="26"/>
        </w:rPr>
        <w:t>.</w:t>
      </w:r>
      <w:r w:rsidRPr="006B7995">
        <w:rPr>
          <w:sz w:val="26"/>
          <w:szCs w:val="26"/>
        </w:rPr>
        <w:t>)</w:t>
      </w:r>
      <w:proofErr w:type="gramEnd"/>
      <w:r w:rsidRPr="006B7995">
        <w:rPr>
          <w:sz w:val="26"/>
          <w:szCs w:val="26"/>
        </w:rPr>
        <w:t xml:space="preserve">  The OCA provided similar comments</w:t>
      </w:r>
      <w:r w:rsidR="00E135C1">
        <w:rPr>
          <w:sz w:val="26"/>
          <w:szCs w:val="26"/>
        </w:rPr>
        <w:t>,</w:t>
      </w:r>
      <w:r w:rsidRPr="006B7995">
        <w:rPr>
          <w:sz w:val="26"/>
          <w:szCs w:val="26"/>
        </w:rPr>
        <w:t xml:space="preserve"> </w:t>
      </w:r>
      <w:r w:rsidR="00E135C1">
        <w:rPr>
          <w:sz w:val="26"/>
          <w:szCs w:val="26"/>
        </w:rPr>
        <w:t xml:space="preserve">stating </w:t>
      </w:r>
      <w:r w:rsidRPr="006B7995">
        <w:rPr>
          <w:sz w:val="26"/>
          <w:szCs w:val="26"/>
        </w:rPr>
        <w:t>that updates to the TRM should be coordinated with the EDC program year so that the TRM is finalized sufficiently in advance of the next program year filing.</w:t>
      </w:r>
      <w:r w:rsidR="00E135C1">
        <w:rPr>
          <w:sz w:val="26"/>
          <w:szCs w:val="26"/>
        </w:rPr>
        <w:t xml:space="preserve"> </w:t>
      </w:r>
      <w:r w:rsidRPr="006B7995">
        <w:rPr>
          <w:sz w:val="26"/>
          <w:szCs w:val="26"/>
        </w:rPr>
        <w:t xml:space="preserve"> </w:t>
      </w:r>
      <w:proofErr w:type="gramStart"/>
      <w:r w:rsidR="00DF2DD0" w:rsidRPr="006B7995">
        <w:rPr>
          <w:sz w:val="26"/>
          <w:szCs w:val="26"/>
        </w:rPr>
        <w:t xml:space="preserve">(OCA </w:t>
      </w:r>
      <w:r w:rsidR="00E135C1">
        <w:rPr>
          <w:sz w:val="26"/>
          <w:szCs w:val="26"/>
        </w:rPr>
        <w:t>C</w:t>
      </w:r>
      <w:r w:rsidR="00DF2DD0" w:rsidRPr="006B7995">
        <w:rPr>
          <w:sz w:val="26"/>
          <w:szCs w:val="26"/>
        </w:rPr>
        <w:t>omments at 6</w:t>
      </w:r>
      <w:r w:rsidR="00E135C1">
        <w:rPr>
          <w:sz w:val="26"/>
          <w:szCs w:val="26"/>
        </w:rPr>
        <w:t>.)</w:t>
      </w:r>
      <w:proofErr w:type="gramEnd"/>
    </w:p>
    <w:p w:rsidR="00E135C1" w:rsidRDefault="00E135C1" w:rsidP="006B5753">
      <w:pPr>
        <w:pStyle w:val="p3"/>
        <w:tabs>
          <w:tab w:val="clear" w:pos="204"/>
        </w:tabs>
        <w:spacing w:line="360" w:lineRule="auto"/>
        <w:rPr>
          <w:sz w:val="26"/>
          <w:szCs w:val="26"/>
        </w:rPr>
      </w:pPr>
    </w:p>
    <w:p w:rsidR="001A58A9" w:rsidRPr="006B7995" w:rsidRDefault="00E135C1" w:rsidP="006B5753">
      <w:pPr>
        <w:pStyle w:val="p3"/>
        <w:tabs>
          <w:tab w:val="clear" w:pos="204"/>
        </w:tabs>
        <w:spacing w:line="360" w:lineRule="auto"/>
        <w:rPr>
          <w:sz w:val="26"/>
          <w:szCs w:val="26"/>
        </w:rPr>
      </w:pPr>
      <w:r>
        <w:rPr>
          <w:sz w:val="26"/>
          <w:szCs w:val="26"/>
        </w:rPr>
        <w:tab/>
      </w:r>
      <w:r w:rsidR="00A40BE1">
        <w:rPr>
          <w:sz w:val="26"/>
          <w:szCs w:val="26"/>
        </w:rPr>
        <w:t xml:space="preserve">The </w:t>
      </w:r>
      <w:r w:rsidR="007F2778">
        <w:rPr>
          <w:sz w:val="26"/>
          <w:szCs w:val="26"/>
        </w:rPr>
        <w:t xml:space="preserve">EAPA and PPL raised several legal and policy arguments against revising any TRM baseline value during </w:t>
      </w:r>
      <w:r w:rsidR="00E35997">
        <w:rPr>
          <w:sz w:val="26"/>
          <w:szCs w:val="26"/>
        </w:rPr>
        <w:t>the entire EE&amp;C Program period from June 1, 2009</w:t>
      </w:r>
      <w:r w:rsidR="00A40BE1">
        <w:rPr>
          <w:sz w:val="26"/>
          <w:szCs w:val="26"/>
        </w:rPr>
        <w:t>,</w:t>
      </w:r>
      <w:r w:rsidR="00E35997">
        <w:rPr>
          <w:sz w:val="26"/>
          <w:szCs w:val="26"/>
        </w:rPr>
        <w:t xml:space="preserve"> through May 31, 2013.  </w:t>
      </w:r>
      <w:r w:rsidR="00117167">
        <w:rPr>
          <w:sz w:val="26"/>
          <w:szCs w:val="26"/>
        </w:rPr>
        <w:t>First</w:t>
      </w:r>
      <w:r w:rsidR="008E5141">
        <w:rPr>
          <w:sz w:val="26"/>
          <w:szCs w:val="26"/>
        </w:rPr>
        <w:t xml:space="preserve">, </w:t>
      </w:r>
      <w:r w:rsidR="00A40BE1">
        <w:rPr>
          <w:sz w:val="26"/>
          <w:szCs w:val="26"/>
        </w:rPr>
        <w:t xml:space="preserve">the </w:t>
      </w:r>
      <w:r w:rsidR="008E5141">
        <w:rPr>
          <w:sz w:val="26"/>
          <w:szCs w:val="26"/>
        </w:rPr>
        <w:t>EAPA and PPL assert</w:t>
      </w:r>
      <w:r w:rsidR="00A40BE1">
        <w:rPr>
          <w:sz w:val="26"/>
          <w:szCs w:val="26"/>
        </w:rPr>
        <w:t>ed</w:t>
      </w:r>
      <w:r w:rsidR="008E5141">
        <w:rPr>
          <w:sz w:val="26"/>
          <w:szCs w:val="26"/>
        </w:rPr>
        <w:t xml:space="preserve"> that changes to the TRM baseline values improperly requires the EDCs to revise their previously approved EE&amp;C plans in violation of Section 703(g) of the Public Utility Code, 66 Pa. C.S. § 703(g), </w:t>
      </w:r>
      <w:r w:rsidR="002C52C0">
        <w:rPr>
          <w:sz w:val="26"/>
          <w:szCs w:val="26"/>
        </w:rPr>
        <w:t xml:space="preserve">suggesting that they were not provided notice and an opportunity to be heard on the proposed changes.  (EAPA Comments at 17 and 18, and PPL Comments at </w:t>
      </w:r>
      <w:r w:rsidR="009E0A76">
        <w:rPr>
          <w:sz w:val="26"/>
          <w:szCs w:val="26"/>
        </w:rPr>
        <w:t xml:space="preserve">40-42.)  </w:t>
      </w:r>
      <w:r w:rsidR="000A0F63">
        <w:rPr>
          <w:sz w:val="26"/>
          <w:szCs w:val="26"/>
        </w:rPr>
        <w:t>Second</w:t>
      </w:r>
      <w:r w:rsidR="009E0A76">
        <w:rPr>
          <w:sz w:val="26"/>
          <w:szCs w:val="26"/>
        </w:rPr>
        <w:t xml:space="preserve">, </w:t>
      </w:r>
      <w:r w:rsidR="00A40BE1">
        <w:rPr>
          <w:sz w:val="26"/>
          <w:szCs w:val="26"/>
        </w:rPr>
        <w:t xml:space="preserve">the </w:t>
      </w:r>
      <w:r w:rsidR="009E0A76">
        <w:rPr>
          <w:sz w:val="26"/>
          <w:szCs w:val="26"/>
        </w:rPr>
        <w:t>EAPA and PPL argue</w:t>
      </w:r>
      <w:r w:rsidR="00A40BE1">
        <w:rPr>
          <w:sz w:val="26"/>
          <w:szCs w:val="26"/>
        </w:rPr>
        <w:t>d</w:t>
      </w:r>
      <w:r w:rsidR="009E0A76">
        <w:rPr>
          <w:sz w:val="26"/>
          <w:szCs w:val="26"/>
        </w:rPr>
        <w:t xml:space="preserve"> that the changes would amount to a retroactive application of a regulation, in violation of Section 1926 of the Statutory Construction Act of 1972, 1 Pa. C.S. § 1926. </w:t>
      </w:r>
      <w:r w:rsidR="00FC4062">
        <w:rPr>
          <w:sz w:val="26"/>
          <w:szCs w:val="26"/>
        </w:rPr>
        <w:t xml:space="preserve"> </w:t>
      </w:r>
      <w:r w:rsidR="009E0A76">
        <w:rPr>
          <w:sz w:val="26"/>
          <w:szCs w:val="26"/>
        </w:rPr>
        <w:t>(EAPA Comments at 1</w:t>
      </w:r>
      <w:r w:rsidR="00FC4062">
        <w:rPr>
          <w:sz w:val="26"/>
          <w:szCs w:val="26"/>
        </w:rPr>
        <w:t>8</w:t>
      </w:r>
      <w:r w:rsidR="009E0A76">
        <w:rPr>
          <w:sz w:val="26"/>
          <w:szCs w:val="26"/>
        </w:rPr>
        <w:t xml:space="preserve"> and 1</w:t>
      </w:r>
      <w:r w:rsidR="00FC4062">
        <w:rPr>
          <w:sz w:val="26"/>
          <w:szCs w:val="26"/>
        </w:rPr>
        <w:t>9</w:t>
      </w:r>
      <w:r w:rsidR="009E0A76">
        <w:rPr>
          <w:sz w:val="26"/>
          <w:szCs w:val="26"/>
        </w:rPr>
        <w:t xml:space="preserve">, and PPL Comments at </w:t>
      </w:r>
      <w:r w:rsidR="00203FD9">
        <w:rPr>
          <w:sz w:val="26"/>
          <w:szCs w:val="26"/>
        </w:rPr>
        <w:t>37</w:t>
      </w:r>
      <w:r w:rsidR="009E0A76">
        <w:rPr>
          <w:sz w:val="26"/>
          <w:szCs w:val="26"/>
        </w:rPr>
        <w:t>-</w:t>
      </w:r>
      <w:r w:rsidR="00203FD9">
        <w:rPr>
          <w:sz w:val="26"/>
          <w:szCs w:val="26"/>
        </w:rPr>
        <w:t>39</w:t>
      </w:r>
      <w:r w:rsidR="009E0A76">
        <w:rPr>
          <w:sz w:val="26"/>
          <w:szCs w:val="26"/>
        </w:rPr>
        <w:t xml:space="preserve">.) </w:t>
      </w:r>
      <w:r w:rsidR="00203FD9">
        <w:rPr>
          <w:sz w:val="26"/>
          <w:szCs w:val="26"/>
        </w:rPr>
        <w:t xml:space="preserve"> </w:t>
      </w:r>
      <w:r w:rsidR="000A0F63">
        <w:rPr>
          <w:sz w:val="26"/>
          <w:szCs w:val="26"/>
        </w:rPr>
        <w:t xml:space="preserve">Third, </w:t>
      </w:r>
      <w:r w:rsidR="00A40BE1">
        <w:rPr>
          <w:sz w:val="26"/>
          <w:szCs w:val="26"/>
        </w:rPr>
        <w:t xml:space="preserve">the </w:t>
      </w:r>
      <w:r w:rsidR="00203FD9">
        <w:rPr>
          <w:sz w:val="26"/>
          <w:szCs w:val="26"/>
        </w:rPr>
        <w:t>EAPA and PPL argue</w:t>
      </w:r>
      <w:r w:rsidR="00A40BE1">
        <w:rPr>
          <w:sz w:val="26"/>
          <w:szCs w:val="26"/>
        </w:rPr>
        <w:t>d</w:t>
      </w:r>
      <w:r w:rsidR="00203FD9">
        <w:rPr>
          <w:sz w:val="26"/>
          <w:szCs w:val="26"/>
        </w:rPr>
        <w:t xml:space="preserve"> that changing the TRM baselines improperly revise the EDCs’ EE&amp;C plans in violation of Section 2806.1(b)(2) of Act 129, </w:t>
      </w:r>
      <w:r w:rsidR="00117167">
        <w:rPr>
          <w:sz w:val="26"/>
          <w:szCs w:val="26"/>
        </w:rPr>
        <w:t>66 Pa. C.S. § 2806.1(b)(2),</w:t>
      </w:r>
      <w:r w:rsidR="005C16BA">
        <w:rPr>
          <w:sz w:val="26"/>
          <w:szCs w:val="26"/>
        </w:rPr>
        <w:t xml:space="preserve"> </w:t>
      </w:r>
      <w:r w:rsidR="005C16BA">
        <w:rPr>
          <w:sz w:val="26"/>
          <w:szCs w:val="26"/>
        </w:rPr>
        <w:lastRenderedPageBreak/>
        <w:t xml:space="preserve">and the Act 129 </w:t>
      </w:r>
      <w:r w:rsidR="005C16BA" w:rsidRPr="001A58A9">
        <w:rPr>
          <w:i/>
          <w:sz w:val="26"/>
          <w:szCs w:val="26"/>
        </w:rPr>
        <w:t>Implementation Order</w:t>
      </w:r>
      <w:r w:rsidR="00117167">
        <w:rPr>
          <w:sz w:val="26"/>
          <w:szCs w:val="26"/>
        </w:rPr>
        <w:t xml:space="preserve"> that establishes the procedure</w:t>
      </w:r>
      <w:r w:rsidR="001A58A9">
        <w:rPr>
          <w:sz w:val="26"/>
          <w:szCs w:val="26"/>
        </w:rPr>
        <w:t>s</w:t>
      </w:r>
      <w:r w:rsidR="00117167">
        <w:rPr>
          <w:sz w:val="26"/>
          <w:szCs w:val="26"/>
        </w:rPr>
        <w:t xml:space="preserve"> the Commission must use to modify EDC EE&amp;C plans.  </w:t>
      </w:r>
      <w:proofErr w:type="gramStart"/>
      <w:r w:rsidR="00117167">
        <w:rPr>
          <w:sz w:val="26"/>
          <w:szCs w:val="26"/>
        </w:rPr>
        <w:t>(EAPA Comments at 19 and 20</w:t>
      </w:r>
      <w:r w:rsidR="005C16BA">
        <w:rPr>
          <w:sz w:val="26"/>
          <w:szCs w:val="26"/>
        </w:rPr>
        <w:t>,</w:t>
      </w:r>
      <w:r w:rsidR="00117167">
        <w:rPr>
          <w:sz w:val="26"/>
          <w:szCs w:val="26"/>
        </w:rPr>
        <w:t xml:space="preserve"> and PPL Comments at </w:t>
      </w:r>
      <w:r w:rsidR="001A58A9">
        <w:rPr>
          <w:sz w:val="26"/>
          <w:szCs w:val="26"/>
        </w:rPr>
        <w:t xml:space="preserve">39, </w:t>
      </w:r>
      <w:r w:rsidR="00117167">
        <w:rPr>
          <w:sz w:val="26"/>
          <w:szCs w:val="26"/>
        </w:rPr>
        <w:t>42 and 43.)</w:t>
      </w:r>
      <w:proofErr w:type="gramEnd"/>
      <w:r w:rsidR="00117167">
        <w:rPr>
          <w:sz w:val="26"/>
          <w:szCs w:val="26"/>
        </w:rPr>
        <w:t xml:space="preserve">  </w:t>
      </w:r>
      <w:r w:rsidR="000A0F63">
        <w:rPr>
          <w:sz w:val="26"/>
          <w:szCs w:val="26"/>
        </w:rPr>
        <w:t>Fourth</w:t>
      </w:r>
      <w:r w:rsidR="00117167">
        <w:rPr>
          <w:sz w:val="26"/>
          <w:szCs w:val="26"/>
        </w:rPr>
        <w:t xml:space="preserve">, </w:t>
      </w:r>
      <w:r w:rsidR="00A40BE1">
        <w:rPr>
          <w:sz w:val="26"/>
          <w:szCs w:val="26"/>
        </w:rPr>
        <w:t xml:space="preserve">the </w:t>
      </w:r>
      <w:r w:rsidR="000A0F63">
        <w:rPr>
          <w:sz w:val="26"/>
          <w:szCs w:val="26"/>
        </w:rPr>
        <w:t>EAPA and PPL argue</w:t>
      </w:r>
      <w:r w:rsidR="00A40BE1">
        <w:rPr>
          <w:sz w:val="26"/>
          <w:szCs w:val="26"/>
        </w:rPr>
        <w:t>d</w:t>
      </w:r>
      <w:r w:rsidR="000A0F63">
        <w:rPr>
          <w:sz w:val="26"/>
          <w:szCs w:val="26"/>
        </w:rPr>
        <w:t xml:space="preserve"> that the baseline changes proposed in the 2011 TRM update are not supported by substantial evidence.  </w:t>
      </w:r>
      <w:proofErr w:type="gramStart"/>
      <w:r w:rsidR="000A0F63">
        <w:rPr>
          <w:sz w:val="26"/>
          <w:szCs w:val="26"/>
        </w:rPr>
        <w:t>(EAPA Comments at 20 and 21, and PPL Comments at 43 and 44.)</w:t>
      </w:r>
      <w:proofErr w:type="gramEnd"/>
      <w:r w:rsidR="000A0F63">
        <w:rPr>
          <w:sz w:val="26"/>
          <w:szCs w:val="26"/>
        </w:rPr>
        <w:t xml:space="preserve">  </w:t>
      </w:r>
      <w:r w:rsidR="001A58A9">
        <w:rPr>
          <w:sz w:val="26"/>
          <w:szCs w:val="26"/>
        </w:rPr>
        <w:t>Lastly</w:t>
      </w:r>
      <w:r w:rsidR="00943602">
        <w:rPr>
          <w:sz w:val="26"/>
          <w:szCs w:val="26"/>
        </w:rPr>
        <w:t>,</w:t>
      </w:r>
      <w:r w:rsidR="00A40BE1">
        <w:rPr>
          <w:sz w:val="26"/>
          <w:szCs w:val="26"/>
        </w:rPr>
        <w:t xml:space="preserve"> the</w:t>
      </w:r>
      <w:r w:rsidR="00943602">
        <w:rPr>
          <w:sz w:val="26"/>
          <w:szCs w:val="26"/>
        </w:rPr>
        <w:t xml:space="preserve"> EAPA and PPL argue</w:t>
      </w:r>
      <w:r w:rsidR="00A40BE1">
        <w:rPr>
          <w:sz w:val="26"/>
          <w:szCs w:val="26"/>
        </w:rPr>
        <w:t>d</w:t>
      </w:r>
      <w:r w:rsidR="00943602">
        <w:rPr>
          <w:sz w:val="26"/>
          <w:szCs w:val="26"/>
        </w:rPr>
        <w:t xml:space="preserve"> that making the baseline changes </w:t>
      </w:r>
      <w:r w:rsidR="005C16BA">
        <w:rPr>
          <w:sz w:val="26"/>
          <w:szCs w:val="26"/>
        </w:rPr>
        <w:t xml:space="preserve">without hearings and substantial evidence </w:t>
      </w:r>
      <w:r w:rsidR="00943602">
        <w:rPr>
          <w:sz w:val="26"/>
          <w:szCs w:val="26"/>
        </w:rPr>
        <w:t xml:space="preserve">are not in accordance with sound public </w:t>
      </w:r>
      <w:r w:rsidR="00495F24">
        <w:rPr>
          <w:sz w:val="26"/>
          <w:szCs w:val="26"/>
        </w:rPr>
        <w:t>policy</w:t>
      </w:r>
      <w:r w:rsidR="00943602">
        <w:rPr>
          <w:sz w:val="26"/>
          <w:szCs w:val="26"/>
        </w:rPr>
        <w:t xml:space="preserve"> are unjust and unreasonable and an abuse of discretion in that the EDCs had relied upon the 2009 TRM in designing their EE&amp;C plans</w:t>
      </w:r>
      <w:r w:rsidR="0048235F">
        <w:rPr>
          <w:sz w:val="26"/>
          <w:szCs w:val="26"/>
        </w:rPr>
        <w:t>,</w:t>
      </w:r>
      <w:r w:rsidR="00943602">
        <w:rPr>
          <w:sz w:val="26"/>
          <w:szCs w:val="26"/>
        </w:rPr>
        <w:t xml:space="preserve"> </w:t>
      </w:r>
      <w:r w:rsidR="0048235F">
        <w:rPr>
          <w:sz w:val="26"/>
          <w:szCs w:val="26"/>
        </w:rPr>
        <w:t>which</w:t>
      </w:r>
      <w:r w:rsidR="005C16BA">
        <w:rPr>
          <w:sz w:val="26"/>
          <w:szCs w:val="26"/>
        </w:rPr>
        <w:t xml:space="preserve"> were approved after </w:t>
      </w:r>
      <w:r w:rsidR="0048235F">
        <w:rPr>
          <w:sz w:val="26"/>
          <w:szCs w:val="26"/>
        </w:rPr>
        <w:t xml:space="preserve">Commission </w:t>
      </w:r>
      <w:r w:rsidR="005C16BA">
        <w:rPr>
          <w:sz w:val="26"/>
          <w:szCs w:val="26"/>
        </w:rPr>
        <w:t>hearings.</w:t>
      </w:r>
      <w:r w:rsidR="00943602">
        <w:rPr>
          <w:sz w:val="26"/>
          <w:szCs w:val="26"/>
        </w:rPr>
        <w:t xml:space="preserve"> </w:t>
      </w:r>
      <w:r w:rsidR="005C16BA">
        <w:rPr>
          <w:sz w:val="26"/>
          <w:szCs w:val="26"/>
        </w:rPr>
        <w:t xml:space="preserve"> </w:t>
      </w:r>
      <w:proofErr w:type="gramStart"/>
      <w:r w:rsidR="005C16BA">
        <w:rPr>
          <w:sz w:val="26"/>
          <w:szCs w:val="26"/>
        </w:rPr>
        <w:t xml:space="preserve">(EAPA Comments at </w:t>
      </w:r>
      <w:r w:rsidR="00495F24">
        <w:rPr>
          <w:sz w:val="26"/>
          <w:szCs w:val="26"/>
        </w:rPr>
        <w:t>22</w:t>
      </w:r>
      <w:r w:rsidR="005C16BA">
        <w:rPr>
          <w:sz w:val="26"/>
          <w:szCs w:val="26"/>
        </w:rPr>
        <w:t xml:space="preserve"> and PPL Comments at 45 and 46.)</w:t>
      </w:r>
      <w:proofErr w:type="gramEnd"/>
      <w:r w:rsidR="001B31F5">
        <w:rPr>
          <w:sz w:val="26"/>
          <w:szCs w:val="26"/>
        </w:rPr>
        <w:t xml:space="preserve">  </w:t>
      </w:r>
      <w:r w:rsidR="001A58A9">
        <w:rPr>
          <w:sz w:val="26"/>
          <w:szCs w:val="26"/>
        </w:rPr>
        <w:t>PPL also argue</w:t>
      </w:r>
      <w:r w:rsidR="0048235F">
        <w:rPr>
          <w:sz w:val="26"/>
          <w:szCs w:val="26"/>
        </w:rPr>
        <w:t>d</w:t>
      </w:r>
      <w:r w:rsidR="001A58A9">
        <w:rPr>
          <w:sz w:val="26"/>
          <w:szCs w:val="26"/>
        </w:rPr>
        <w:t xml:space="preserve"> that the TRM is not binding on the EDCs</w:t>
      </w:r>
      <w:r w:rsidR="001B31F5">
        <w:rPr>
          <w:sz w:val="26"/>
          <w:szCs w:val="26"/>
        </w:rPr>
        <w:t xml:space="preserve"> as it is not a statute or regulation</w:t>
      </w:r>
      <w:r w:rsidR="001A58A9">
        <w:rPr>
          <w:sz w:val="26"/>
          <w:szCs w:val="26"/>
        </w:rPr>
        <w:t>.</w:t>
      </w:r>
      <w:r w:rsidR="001B31F5">
        <w:rPr>
          <w:sz w:val="26"/>
          <w:szCs w:val="26"/>
        </w:rPr>
        <w:t xml:space="preserve">  (PPL Comments at 34</w:t>
      </w:r>
      <w:r w:rsidR="00B0751F">
        <w:rPr>
          <w:sz w:val="26"/>
          <w:szCs w:val="26"/>
        </w:rPr>
        <w:t>-36.)</w:t>
      </w:r>
    </w:p>
    <w:p w:rsidR="00BC7FBC" w:rsidRPr="006B7995" w:rsidRDefault="00BC7FBC" w:rsidP="006B5753">
      <w:pPr>
        <w:pStyle w:val="p3"/>
        <w:tabs>
          <w:tab w:val="clear" w:pos="204"/>
        </w:tabs>
        <w:spacing w:line="360" w:lineRule="auto"/>
        <w:rPr>
          <w:sz w:val="26"/>
          <w:szCs w:val="26"/>
        </w:rPr>
      </w:pPr>
    </w:p>
    <w:p w:rsidR="006B5753" w:rsidRPr="00EB3F80" w:rsidRDefault="006B5753" w:rsidP="00FA47F0">
      <w:pPr>
        <w:pStyle w:val="p3"/>
        <w:numPr>
          <w:ilvl w:val="0"/>
          <w:numId w:val="27"/>
        </w:numPr>
        <w:tabs>
          <w:tab w:val="clear" w:pos="204"/>
        </w:tabs>
        <w:spacing w:line="360" w:lineRule="auto"/>
        <w:ind w:left="1440" w:hanging="720"/>
        <w:rPr>
          <w:b/>
          <w:sz w:val="26"/>
          <w:szCs w:val="26"/>
        </w:rPr>
      </w:pPr>
      <w:r w:rsidRPr="006B7995">
        <w:rPr>
          <w:b/>
          <w:sz w:val="26"/>
          <w:szCs w:val="26"/>
        </w:rPr>
        <w:t>Disposition</w:t>
      </w:r>
    </w:p>
    <w:p w:rsidR="006B5753" w:rsidRDefault="006B5753" w:rsidP="006B5753">
      <w:pPr>
        <w:spacing w:line="360" w:lineRule="auto"/>
        <w:rPr>
          <w:sz w:val="26"/>
          <w:szCs w:val="26"/>
        </w:rPr>
      </w:pPr>
    </w:p>
    <w:p w:rsidR="00B0751F" w:rsidRDefault="00A434D8" w:rsidP="00B0751F">
      <w:pPr>
        <w:spacing w:line="360" w:lineRule="auto"/>
        <w:ind w:firstLine="720"/>
        <w:rPr>
          <w:sz w:val="26"/>
          <w:szCs w:val="26"/>
        </w:rPr>
      </w:pPr>
      <w:r>
        <w:rPr>
          <w:sz w:val="26"/>
          <w:szCs w:val="26"/>
        </w:rPr>
        <w:t>To begin with, the Commission rejects the Commenters’ request t</w:t>
      </w:r>
      <w:r w:rsidR="00AA2EE1">
        <w:rPr>
          <w:sz w:val="26"/>
          <w:szCs w:val="26"/>
        </w:rPr>
        <w:t xml:space="preserve">o </w:t>
      </w:r>
      <w:r w:rsidR="00495F24">
        <w:rPr>
          <w:sz w:val="26"/>
          <w:szCs w:val="26"/>
        </w:rPr>
        <w:t>delay the</w:t>
      </w:r>
      <w:r>
        <w:rPr>
          <w:sz w:val="26"/>
          <w:szCs w:val="26"/>
        </w:rPr>
        <w:t xml:space="preserve"> application of baseline changes to the TRM </w:t>
      </w:r>
      <w:r w:rsidR="00AA2EE1">
        <w:rPr>
          <w:sz w:val="26"/>
          <w:szCs w:val="26"/>
        </w:rPr>
        <w:t>until</w:t>
      </w:r>
      <w:r>
        <w:rPr>
          <w:sz w:val="26"/>
          <w:szCs w:val="26"/>
        </w:rPr>
        <w:t xml:space="preserve"> after June 1, 2013.  </w:t>
      </w:r>
      <w:r w:rsidR="0061429B">
        <w:rPr>
          <w:sz w:val="26"/>
          <w:szCs w:val="26"/>
        </w:rPr>
        <w:t>The Commission is obligated to establish an evaluation process that monitors and verifies data collection, quality assurance and the results of each EDC’s EE&amp;C plan and the EE&amp;C program as a whole</w:t>
      </w:r>
      <w:r w:rsidR="001138BE">
        <w:rPr>
          <w:sz w:val="26"/>
          <w:szCs w:val="26"/>
        </w:rPr>
        <w:t>, throughout the entirety of the program.</w:t>
      </w:r>
      <w:r w:rsidR="001138BE">
        <w:rPr>
          <w:rStyle w:val="FootnoteReference"/>
          <w:sz w:val="26"/>
          <w:szCs w:val="26"/>
        </w:rPr>
        <w:footnoteReference w:id="31"/>
      </w:r>
      <w:r w:rsidR="001138BE">
        <w:rPr>
          <w:sz w:val="26"/>
          <w:szCs w:val="26"/>
        </w:rPr>
        <w:t xml:space="preserve">  In fact, </w:t>
      </w:r>
      <w:r w:rsidR="00B34AC5">
        <w:rPr>
          <w:sz w:val="26"/>
          <w:szCs w:val="26"/>
        </w:rPr>
        <w:t>Act 129 requires the Commission to conduct this evaluation process every year, as each EDC is to submit an annual report documenting the effectiveness of its plan, the energy savings measurement and verification, an evaluation of the cost-effectiveness of expenditures and any other information the Commission requires.</w:t>
      </w:r>
      <w:r w:rsidR="00B34AC5">
        <w:rPr>
          <w:rStyle w:val="FootnoteReference"/>
          <w:sz w:val="26"/>
          <w:szCs w:val="26"/>
        </w:rPr>
        <w:footnoteReference w:id="32"/>
      </w:r>
      <w:r w:rsidR="00475F9F">
        <w:rPr>
          <w:sz w:val="26"/>
          <w:szCs w:val="26"/>
        </w:rPr>
        <w:t xml:space="preserve">  In the </w:t>
      </w:r>
      <w:r w:rsidR="00475F9F" w:rsidRPr="00475F9F">
        <w:rPr>
          <w:i/>
          <w:sz w:val="26"/>
          <w:szCs w:val="26"/>
        </w:rPr>
        <w:t>Implementation Order</w:t>
      </w:r>
      <w:r w:rsidR="00475F9F">
        <w:rPr>
          <w:sz w:val="26"/>
          <w:szCs w:val="26"/>
        </w:rPr>
        <w:t xml:space="preserve">, the Commission stated that it will use the TRM to help fulfill these evaluation process requirements, noting, however, that the TRM would have to be updated and expanded </w:t>
      </w:r>
      <w:r w:rsidR="002910BF">
        <w:rPr>
          <w:sz w:val="26"/>
          <w:szCs w:val="26"/>
        </w:rPr>
        <w:t xml:space="preserve">periodically </w:t>
      </w:r>
      <w:r w:rsidR="00475F9F">
        <w:rPr>
          <w:sz w:val="26"/>
          <w:szCs w:val="26"/>
        </w:rPr>
        <w:t>to fulfill these requirements.</w:t>
      </w:r>
      <w:r w:rsidR="00475F9F">
        <w:rPr>
          <w:rStyle w:val="FootnoteReference"/>
          <w:sz w:val="26"/>
          <w:szCs w:val="26"/>
        </w:rPr>
        <w:footnoteReference w:id="33"/>
      </w:r>
    </w:p>
    <w:p w:rsidR="002910BF" w:rsidRDefault="00BF2AAA" w:rsidP="00B0751F">
      <w:pPr>
        <w:spacing w:line="360" w:lineRule="auto"/>
        <w:ind w:firstLine="720"/>
        <w:rPr>
          <w:sz w:val="26"/>
          <w:szCs w:val="26"/>
        </w:rPr>
      </w:pPr>
      <w:r>
        <w:rPr>
          <w:sz w:val="26"/>
          <w:szCs w:val="26"/>
        </w:rPr>
        <w:lastRenderedPageBreak/>
        <w:t>Inherent</w:t>
      </w:r>
      <w:r w:rsidR="002910BF">
        <w:rPr>
          <w:sz w:val="26"/>
          <w:szCs w:val="26"/>
        </w:rPr>
        <w:t xml:space="preserve"> in the Commission’s obligation to verify</w:t>
      </w:r>
      <w:r w:rsidR="000E5A08">
        <w:rPr>
          <w:rStyle w:val="FootnoteReference"/>
          <w:sz w:val="26"/>
          <w:szCs w:val="26"/>
        </w:rPr>
        <w:footnoteReference w:id="34"/>
      </w:r>
      <w:r w:rsidR="002910BF">
        <w:rPr>
          <w:sz w:val="26"/>
          <w:szCs w:val="26"/>
        </w:rPr>
        <w:t xml:space="preserve"> the results of each EE&amp;C plan, as well as the EE&amp;C program as a whole, </w:t>
      </w:r>
      <w:r w:rsidR="009E34A8">
        <w:rPr>
          <w:sz w:val="26"/>
          <w:szCs w:val="26"/>
        </w:rPr>
        <w:t>and to ensure EDC compliance with the mandated consumption and demand reductions,</w:t>
      </w:r>
      <w:r w:rsidR="009E34A8">
        <w:rPr>
          <w:rStyle w:val="FootnoteReference"/>
          <w:sz w:val="26"/>
          <w:szCs w:val="26"/>
        </w:rPr>
        <w:footnoteReference w:id="35"/>
      </w:r>
      <w:r w:rsidR="000E5A08">
        <w:rPr>
          <w:sz w:val="26"/>
          <w:szCs w:val="26"/>
        </w:rPr>
        <w:t xml:space="preserve"> the Commission must use substantial credible facts to support such determinations.</w:t>
      </w:r>
      <w:r>
        <w:rPr>
          <w:sz w:val="26"/>
          <w:szCs w:val="26"/>
        </w:rPr>
        <w:t xml:space="preserve">  </w:t>
      </w:r>
      <w:r w:rsidR="00943C2F">
        <w:rPr>
          <w:sz w:val="26"/>
          <w:szCs w:val="26"/>
        </w:rPr>
        <w:t xml:space="preserve">Therefore, as the Commission is allowing the EDCs to use the TRM to verify their energy savings, the TRM methods and values must be sound, accurate and credible.  </w:t>
      </w:r>
      <w:r w:rsidR="00C453FF">
        <w:rPr>
          <w:sz w:val="26"/>
          <w:szCs w:val="26"/>
        </w:rPr>
        <w:t xml:space="preserve">The original TRM was established based on the best available studies and data at that time.  These studies and data, however, will become less reliable as </w:t>
      </w:r>
      <w:r w:rsidR="006C368E">
        <w:rPr>
          <w:sz w:val="26"/>
          <w:szCs w:val="26"/>
        </w:rPr>
        <w:t xml:space="preserve">the science and </w:t>
      </w:r>
      <w:r w:rsidR="00641AFA">
        <w:rPr>
          <w:sz w:val="26"/>
          <w:szCs w:val="26"/>
        </w:rPr>
        <w:t xml:space="preserve">energy efficient equipment </w:t>
      </w:r>
      <w:r w:rsidR="006C368E">
        <w:rPr>
          <w:sz w:val="26"/>
          <w:szCs w:val="26"/>
        </w:rPr>
        <w:t>technology advances, and that technology gets deployed.  As such, in order to remain credible</w:t>
      </w:r>
      <w:r w:rsidR="007132DC">
        <w:rPr>
          <w:sz w:val="26"/>
          <w:szCs w:val="26"/>
        </w:rPr>
        <w:t xml:space="preserve"> and relevant</w:t>
      </w:r>
      <w:r w:rsidR="006C368E">
        <w:rPr>
          <w:sz w:val="26"/>
          <w:szCs w:val="26"/>
        </w:rPr>
        <w:t>, the TRM must continually be updated to reflect the c</w:t>
      </w:r>
      <w:r w:rsidR="007132DC">
        <w:rPr>
          <w:sz w:val="26"/>
          <w:szCs w:val="26"/>
        </w:rPr>
        <w:t xml:space="preserve">hanging energy conservation science and technology, and the level of deployment of </w:t>
      </w:r>
      <w:r w:rsidR="00641AFA">
        <w:rPr>
          <w:sz w:val="26"/>
          <w:szCs w:val="26"/>
        </w:rPr>
        <w:t xml:space="preserve">that </w:t>
      </w:r>
      <w:r w:rsidR="007132DC">
        <w:rPr>
          <w:sz w:val="26"/>
          <w:szCs w:val="26"/>
        </w:rPr>
        <w:t xml:space="preserve">science and technology.  </w:t>
      </w:r>
      <w:r w:rsidR="00334DCE">
        <w:rPr>
          <w:sz w:val="26"/>
          <w:szCs w:val="26"/>
        </w:rPr>
        <w:t xml:space="preserve">Indeed, it would be unreasonable for the Commission to ignore more up-to-date and accurate information regarding the energy efficiency values of various programs, appliances and equipment.  </w:t>
      </w:r>
      <w:r w:rsidR="007132DC">
        <w:rPr>
          <w:sz w:val="26"/>
          <w:szCs w:val="26"/>
        </w:rPr>
        <w:t xml:space="preserve">As such, </w:t>
      </w:r>
      <w:r w:rsidR="00334DCE">
        <w:rPr>
          <w:sz w:val="26"/>
          <w:szCs w:val="26"/>
        </w:rPr>
        <w:t xml:space="preserve">after providing a notice and comment opportunity, </w:t>
      </w:r>
      <w:r w:rsidR="007132DC">
        <w:rPr>
          <w:sz w:val="26"/>
          <w:szCs w:val="26"/>
        </w:rPr>
        <w:t xml:space="preserve">the Commission will continue to update the TRM on an annual basis, based on </w:t>
      </w:r>
      <w:r w:rsidR="00EC474B">
        <w:rPr>
          <w:sz w:val="26"/>
          <w:szCs w:val="26"/>
        </w:rPr>
        <w:t>sound, accurate and credible studies and data and apply these TRM values at the beginning of each subsequent AEPS Act and EE&amp;C Program compliance years.</w:t>
      </w:r>
    </w:p>
    <w:p w:rsidR="00EC474B" w:rsidRDefault="00EC474B" w:rsidP="00B0751F">
      <w:pPr>
        <w:spacing w:line="360" w:lineRule="auto"/>
        <w:ind w:firstLine="720"/>
        <w:rPr>
          <w:sz w:val="26"/>
          <w:szCs w:val="26"/>
        </w:rPr>
      </w:pPr>
    </w:p>
    <w:p w:rsidR="00EC474B" w:rsidRDefault="0056755B" w:rsidP="00B0751F">
      <w:pPr>
        <w:spacing w:line="360" w:lineRule="auto"/>
        <w:ind w:firstLine="720"/>
        <w:rPr>
          <w:sz w:val="26"/>
          <w:szCs w:val="26"/>
        </w:rPr>
      </w:pPr>
      <w:r>
        <w:rPr>
          <w:sz w:val="26"/>
          <w:szCs w:val="26"/>
        </w:rPr>
        <w:t xml:space="preserve">The Commission will continue to use its staff, the SWE, the TWG and its TRM annual review process to fully vet the soundness, accuracy and credibility of any proposed changes to the TRM.  The Commission believes that this process has, to date, provided </w:t>
      </w:r>
      <w:r w:rsidR="00FA0252">
        <w:rPr>
          <w:sz w:val="26"/>
          <w:szCs w:val="26"/>
        </w:rPr>
        <w:t xml:space="preserve">a reliable and credible TRM in a reasonable, cost-effective and timely manner that also provides adequate opportunity for those interested in and </w:t>
      </w:r>
      <w:r w:rsidR="0034231F">
        <w:rPr>
          <w:sz w:val="26"/>
          <w:szCs w:val="26"/>
        </w:rPr>
        <w:t>a</w:t>
      </w:r>
      <w:r w:rsidR="00FA0252">
        <w:rPr>
          <w:sz w:val="26"/>
          <w:szCs w:val="26"/>
        </w:rPr>
        <w:t xml:space="preserve">ffected by the TRM to be heard.  The adequacy of this process is clearly demonstrated in the instant proceeding, wherein, this Commission has rejected the change to the CFL HOU value </w:t>
      </w:r>
      <w:r w:rsidR="00FA0252">
        <w:rPr>
          <w:sz w:val="26"/>
          <w:szCs w:val="26"/>
        </w:rPr>
        <w:lastRenderedPageBreak/>
        <w:t xml:space="preserve">and </w:t>
      </w:r>
      <w:r w:rsidR="00450D3B">
        <w:rPr>
          <w:sz w:val="26"/>
          <w:szCs w:val="26"/>
        </w:rPr>
        <w:t>certain requirements for the refrigerator/freezer recycling measures, as not being credible or reasonable</w:t>
      </w:r>
      <w:r w:rsidR="0034231F">
        <w:rPr>
          <w:sz w:val="26"/>
          <w:szCs w:val="26"/>
        </w:rPr>
        <w:t xml:space="preserve"> based on the comments and data provided by the EDCs</w:t>
      </w:r>
      <w:r w:rsidR="00450D3B">
        <w:rPr>
          <w:sz w:val="26"/>
          <w:szCs w:val="26"/>
        </w:rPr>
        <w:t>.</w:t>
      </w:r>
    </w:p>
    <w:p w:rsidR="0034231F" w:rsidRDefault="0034231F" w:rsidP="00B0751F">
      <w:pPr>
        <w:spacing w:line="360" w:lineRule="auto"/>
        <w:ind w:firstLine="720"/>
        <w:rPr>
          <w:sz w:val="26"/>
          <w:szCs w:val="26"/>
        </w:rPr>
      </w:pPr>
    </w:p>
    <w:p w:rsidR="006C10CF" w:rsidRDefault="0034231F" w:rsidP="00B0751F">
      <w:pPr>
        <w:spacing w:line="360" w:lineRule="auto"/>
        <w:ind w:firstLine="720"/>
        <w:rPr>
          <w:sz w:val="26"/>
          <w:szCs w:val="26"/>
        </w:rPr>
      </w:pPr>
      <w:r>
        <w:rPr>
          <w:sz w:val="26"/>
          <w:szCs w:val="26"/>
        </w:rPr>
        <w:t>We recognize the potential effect any changes to the TRM could have on the</w:t>
      </w:r>
      <w:r w:rsidR="00EA0553">
        <w:rPr>
          <w:sz w:val="26"/>
          <w:szCs w:val="26"/>
        </w:rPr>
        <w:t xml:space="preserve"> EDCs’ existing plans, to include the amount of savings that may be obtained by any individual program offering, the costs of the plans, and the cost-effectiveness of individual program offerings, as well as the program as a whole.  </w:t>
      </w:r>
      <w:r w:rsidR="00146D48">
        <w:rPr>
          <w:sz w:val="26"/>
          <w:szCs w:val="26"/>
        </w:rPr>
        <w:t xml:space="preserve">We believe that the EDCs’ focus on potential penalties as they relate to the effect the TRM changes have on the amount of energy savings achievable under a plan and the public’s confidence in the plans is misplaced.  </w:t>
      </w:r>
    </w:p>
    <w:p w:rsidR="00AC0832" w:rsidRDefault="00AC0832" w:rsidP="00B0751F">
      <w:pPr>
        <w:spacing w:line="360" w:lineRule="auto"/>
        <w:ind w:firstLine="720"/>
        <w:rPr>
          <w:sz w:val="26"/>
          <w:szCs w:val="26"/>
        </w:rPr>
      </w:pPr>
    </w:p>
    <w:p w:rsidR="00AC0832" w:rsidRDefault="0080608D" w:rsidP="00B0751F">
      <w:pPr>
        <w:spacing w:line="360" w:lineRule="auto"/>
        <w:ind w:firstLine="720"/>
        <w:rPr>
          <w:sz w:val="26"/>
          <w:szCs w:val="26"/>
        </w:rPr>
      </w:pPr>
      <w:r>
        <w:rPr>
          <w:sz w:val="26"/>
          <w:szCs w:val="26"/>
        </w:rPr>
        <w:t>The purpose of the EE&amp;C Program is to implement measures to obtain real energy consumption and demand reductions in a cost-effective manner</w:t>
      </w:r>
      <w:r w:rsidR="0012695E">
        <w:rPr>
          <w:sz w:val="26"/>
          <w:szCs w:val="26"/>
        </w:rPr>
        <w:t>.  The amount of the energy consumption and demand reductions measured by the EE&amp;C Program must be credible in order to determine, not only if the EDCs meet the mandatory targets, but to determine whether the r</w:t>
      </w:r>
      <w:r w:rsidR="00DE6C08">
        <w:rPr>
          <w:sz w:val="26"/>
          <w:szCs w:val="26"/>
        </w:rPr>
        <w:t>a</w:t>
      </w:r>
      <w:r w:rsidR="0012695E">
        <w:rPr>
          <w:sz w:val="26"/>
          <w:szCs w:val="26"/>
        </w:rPr>
        <w:t xml:space="preserve">tepayers received real energy consumption and demand reductions and whether those </w:t>
      </w:r>
      <w:r w:rsidR="00DE6C08">
        <w:rPr>
          <w:sz w:val="26"/>
          <w:szCs w:val="26"/>
        </w:rPr>
        <w:t xml:space="preserve">reductions were obtained in a cost-effective </w:t>
      </w:r>
      <w:r w:rsidR="006C10CF">
        <w:rPr>
          <w:sz w:val="26"/>
          <w:szCs w:val="26"/>
        </w:rPr>
        <w:t>manner</w:t>
      </w:r>
      <w:r w:rsidR="00DE6C08">
        <w:rPr>
          <w:sz w:val="26"/>
          <w:szCs w:val="26"/>
        </w:rPr>
        <w:t xml:space="preserve">.  The Commission believes that these issues are the primary and proper reasons to use in assessing whether the TRM values should be updated.  </w:t>
      </w:r>
    </w:p>
    <w:p w:rsidR="00AC0832" w:rsidRDefault="00AC0832" w:rsidP="00B0751F">
      <w:pPr>
        <w:spacing w:line="360" w:lineRule="auto"/>
        <w:ind w:firstLine="720"/>
        <w:rPr>
          <w:sz w:val="26"/>
          <w:szCs w:val="26"/>
        </w:rPr>
      </w:pPr>
    </w:p>
    <w:p w:rsidR="0034231F" w:rsidRDefault="000003A1" w:rsidP="00B0751F">
      <w:pPr>
        <w:spacing w:line="360" w:lineRule="auto"/>
        <w:ind w:firstLine="720"/>
        <w:rPr>
          <w:sz w:val="26"/>
          <w:szCs w:val="26"/>
        </w:rPr>
      </w:pPr>
      <w:r>
        <w:rPr>
          <w:sz w:val="26"/>
          <w:szCs w:val="26"/>
        </w:rPr>
        <w:t xml:space="preserve">The Commission believes that the damage to the public’s trust would be greater if the Commission and the EDCs’ were to promise </w:t>
      </w:r>
      <w:r w:rsidR="00652D81">
        <w:rPr>
          <w:sz w:val="26"/>
          <w:szCs w:val="26"/>
        </w:rPr>
        <w:t xml:space="preserve">greater energy savings than the public realizes </w:t>
      </w:r>
      <w:r w:rsidR="00AC0832">
        <w:rPr>
          <w:sz w:val="26"/>
          <w:szCs w:val="26"/>
        </w:rPr>
        <w:t>when</w:t>
      </w:r>
      <w:r w:rsidR="00652D81">
        <w:rPr>
          <w:sz w:val="26"/>
          <w:szCs w:val="26"/>
        </w:rPr>
        <w:t xml:space="preserve"> participating in and installing the measures promoted by the Commission and the EDCs.  This is especially true based on the fact that the customers participating in and installing these measures pay the lion’s share of the purchase and installation costs for these measures.  </w:t>
      </w:r>
      <w:r w:rsidR="00DE6C08">
        <w:rPr>
          <w:sz w:val="26"/>
          <w:szCs w:val="26"/>
        </w:rPr>
        <w:t xml:space="preserve"> </w:t>
      </w:r>
      <w:r w:rsidR="000C142A">
        <w:rPr>
          <w:sz w:val="26"/>
          <w:szCs w:val="26"/>
        </w:rPr>
        <w:t xml:space="preserve">The trust and confidence of these customers could be irreparably lost if these customers realize far less energy savings than promised after investing significant personal or corporate capital in the offered programs and measures.  </w:t>
      </w:r>
      <w:r w:rsidR="00EC123E">
        <w:rPr>
          <w:sz w:val="26"/>
          <w:szCs w:val="26"/>
        </w:rPr>
        <w:t xml:space="preserve">Whereas, if an EDC were to fail to meet the mandated energy consumption or demand savings, it is </w:t>
      </w:r>
      <w:r w:rsidR="00EC123E">
        <w:rPr>
          <w:sz w:val="26"/>
          <w:szCs w:val="26"/>
        </w:rPr>
        <w:lastRenderedPageBreak/>
        <w:t>likely that the customers will lose confidence in the EDC’s ability to implement such a program, not the program as a whole, provided the savings realized were credibly predicted by the TRM.</w:t>
      </w:r>
    </w:p>
    <w:p w:rsidR="00334DCE" w:rsidRDefault="00334DCE" w:rsidP="00B0751F">
      <w:pPr>
        <w:spacing w:line="360" w:lineRule="auto"/>
        <w:ind w:firstLine="720"/>
        <w:rPr>
          <w:sz w:val="26"/>
          <w:szCs w:val="26"/>
        </w:rPr>
      </w:pPr>
    </w:p>
    <w:p w:rsidR="00D40411" w:rsidRDefault="00F34A6C" w:rsidP="00B0751F">
      <w:pPr>
        <w:spacing w:line="360" w:lineRule="auto"/>
        <w:ind w:firstLine="720"/>
        <w:rPr>
          <w:sz w:val="26"/>
          <w:szCs w:val="26"/>
        </w:rPr>
      </w:pPr>
      <w:r>
        <w:rPr>
          <w:sz w:val="26"/>
          <w:szCs w:val="26"/>
        </w:rPr>
        <w:t xml:space="preserve">The Commission disagrees with EAPA’s and PPL’s assertion that changes in the TRM improperly requires EDCs to revise their previously approved plans in violation of </w:t>
      </w:r>
      <w:r w:rsidR="00826DFB">
        <w:rPr>
          <w:sz w:val="26"/>
          <w:szCs w:val="26"/>
        </w:rPr>
        <w:t xml:space="preserve">66 Pa. C.S. </w:t>
      </w:r>
      <w:r w:rsidR="0070337B">
        <w:rPr>
          <w:sz w:val="26"/>
          <w:szCs w:val="26"/>
        </w:rPr>
        <w:t>§</w:t>
      </w:r>
      <w:r w:rsidR="00826DFB">
        <w:rPr>
          <w:sz w:val="26"/>
          <w:szCs w:val="26"/>
        </w:rPr>
        <w:t>§ 703(g)</w:t>
      </w:r>
      <w:r w:rsidR="0070337B">
        <w:rPr>
          <w:sz w:val="26"/>
          <w:szCs w:val="26"/>
        </w:rPr>
        <w:t xml:space="preserve"> or 2806.1(b</w:t>
      </w:r>
      <w:proofErr w:type="gramStart"/>
      <w:r w:rsidR="0070337B">
        <w:rPr>
          <w:sz w:val="26"/>
          <w:szCs w:val="26"/>
        </w:rPr>
        <w:t>)(</w:t>
      </w:r>
      <w:proofErr w:type="gramEnd"/>
      <w:r w:rsidR="0070337B">
        <w:rPr>
          <w:sz w:val="26"/>
          <w:szCs w:val="26"/>
        </w:rPr>
        <w:t>2)</w:t>
      </w:r>
      <w:r w:rsidR="00826DFB">
        <w:rPr>
          <w:sz w:val="26"/>
          <w:szCs w:val="26"/>
        </w:rPr>
        <w:t xml:space="preserve">.  To begin with, the EDCs’ original plans were based on many estimates and assumptions, to include the amount of savings each measure would obtain, based on the TRM values, custom EM&amp;V protocols, custom measurement, the potential customer participation rates, the proper incentives, and the actual costs to implement each measure.  </w:t>
      </w:r>
      <w:r w:rsidR="00EA64F3">
        <w:rPr>
          <w:sz w:val="26"/>
          <w:szCs w:val="26"/>
        </w:rPr>
        <w:t>The EDC savings estimates based on custom EM&amp;V and custom measurement will</w:t>
      </w:r>
      <w:r w:rsidR="00495F24">
        <w:rPr>
          <w:sz w:val="26"/>
          <w:szCs w:val="26"/>
        </w:rPr>
        <w:t xml:space="preserve"> change</w:t>
      </w:r>
      <w:r w:rsidR="00EA64F3">
        <w:rPr>
          <w:sz w:val="26"/>
          <w:szCs w:val="26"/>
        </w:rPr>
        <w:t>, and have likely changed</w:t>
      </w:r>
      <w:r w:rsidR="00495F24">
        <w:rPr>
          <w:sz w:val="26"/>
          <w:szCs w:val="26"/>
        </w:rPr>
        <w:t>,</w:t>
      </w:r>
      <w:r w:rsidR="00EA64F3">
        <w:rPr>
          <w:sz w:val="26"/>
          <w:szCs w:val="26"/>
        </w:rPr>
        <w:t xml:space="preserve"> over time due to incorrect assumptions about existing </w:t>
      </w:r>
      <w:r w:rsidR="00FB0821">
        <w:rPr>
          <w:sz w:val="26"/>
          <w:szCs w:val="26"/>
        </w:rPr>
        <w:t xml:space="preserve">equipment technology </w:t>
      </w:r>
      <w:r w:rsidR="00EA64F3">
        <w:rPr>
          <w:sz w:val="26"/>
          <w:szCs w:val="26"/>
        </w:rPr>
        <w:t>or changes in available equipment</w:t>
      </w:r>
      <w:r w:rsidR="00495F24">
        <w:rPr>
          <w:sz w:val="26"/>
          <w:szCs w:val="26"/>
        </w:rPr>
        <w:t>.  As discussed above,</w:t>
      </w:r>
      <w:r w:rsidR="00EA64F3">
        <w:rPr>
          <w:sz w:val="26"/>
          <w:szCs w:val="26"/>
        </w:rPr>
        <w:t xml:space="preserve"> the TRM values will change over time as </w:t>
      </w:r>
      <w:r w:rsidR="00FB0821">
        <w:rPr>
          <w:sz w:val="26"/>
          <w:szCs w:val="26"/>
        </w:rPr>
        <w:t>well</w:t>
      </w:r>
      <w:r w:rsidR="00EA64F3">
        <w:rPr>
          <w:sz w:val="26"/>
          <w:szCs w:val="26"/>
        </w:rPr>
        <w:t xml:space="preserve">.  </w:t>
      </w:r>
      <w:r w:rsidR="0069185C">
        <w:rPr>
          <w:sz w:val="26"/>
          <w:szCs w:val="26"/>
        </w:rPr>
        <w:t xml:space="preserve">In changing the TRM to reflect credible and accurate energy savings, the Commission is not changing any EDC </w:t>
      </w:r>
      <w:r w:rsidR="00495F24">
        <w:rPr>
          <w:sz w:val="26"/>
          <w:szCs w:val="26"/>
        </w:rPr>
        <w:t>plan;</w:t>
      </w:r>
      <w:r w:rsidR="0069185C">
        <w:rPr>
          <w:sz w:val="26"/>
          <w:szCs w:val="26"/>
        </w:rPr>
        <w:t xml:space="preserve"> just one of the many assumptions the EDC relied upon in developing its plan.  </w:t>
      </w:r>
      <w:r w:rsidR="00FB0821">
        <w:rPr>
          <w:sz w:val="26"/>
          <w:szCs w:val="26"/>
        </w:rPr>
        <w:t xml:space="preserve">All of these changes or miscalculations in assumptions and estimates </w:t>
      </w:r>
      <w:r w:rsidR="00495F24">
        <w:rPr>
          <w:sz w:val="26"/>
          <w:szCs w:val="26"/>
        </w:rPr>
        <w:t>affect</w:t>
      </w:r>
      <w:r w:rsidR="00FB0821">
        <w:rPr>
          <w:sz w:val="26"/>
          <w:szCs w:val="26"/>
        </w:rPr>
        <w:t xml:space="preserve"> the results of the EDCs’ plans and will likely require EDCs to adjust their plans.  Act 129 and the </w:t>
      </w:r>
      <w:r w:rsidR="00FB0821" w:rsidRPr="00FB0821">
        <w:rPr>
          <w:i/>
          <w:sz w:val="26"/>
          <w:szCs w:val="26"/>
        </w:rPr>
        <w:t>Implementation Order</w:t>
      </w:r>
      <w:r w:rsidR="00FB0821">
        <w:rPr>
          <w:sz w:val="26"/>
          <w:szCs w:val="26"/>
        </w:rPr>
        <w:t xml:space="preserve"> both recognized and accounted for this inevitability by requiring the EDCs to provide annual reports on the progress of their plans</w:t>
      </w:r>
      <w:r w:rsidR="0070337B">
        <w:rPr>
          <w:sz w:val="26"/>
          <w:szCs w:val="26"/>
        </w:rPr>
        <w:t>, as well as,</w:t>
      </w:r>
      <w:r w:rsidR="00FB0821">
        <w:rPr>
          <w:sz w:val="26"/>
          <w:szCs w:val="26"/>
        </w:rPr>
        <w:t xml:space="preserve"> providing a mechanism for the EDCs, </w:t>
      </w:r>
      <w:r w:rsidR="00906D98">
        <w:rPr>
          <w:sz w:val="26"/>
          <w:szCs w:val="26"/>
        </w:rPr>
        <w:t xml:space="preserve">the public, the Commission and any other interested parties to provide suggestions to improve the plans.  </w:t>
      </w:r>
    </w:p>
    <w:p w:rsidR="0069185C" w:rsidRDefault="0069185C" w:rsidP="00B0751F">
      <w:pPr>
        <w:spacing w:line="360" w:lineRule="auto"/>
        <w:ind w:firstLine="720"/>
        <w:rPr>
          <w:sz w:val="26"/>
          <w:szCs w:val="26"/>
        </w:rPr>
      </w:pPr>
    </w:p>
    <w:p w:rsidR="0069185C" w:rsidRDefault="0069185C" w:rsidP="00B0751F">
      <w:pPr>
        <w:spacing w:line="360" w:lineRule="auto"/>
        <w:ind w:firstLine="720"/>
        <w:rPr>
          <w:sz w:val="26"/>
          <w:szCs w:val="26"/>
        </w:rPr>
      </w:pPr>
      <w:r>
        <w:rPr>
          <w:sz w:val="26"/>
          <w:szCs w:val="26"/>
        </w:rPr>
        <w:t>Regarding EAPA’s and PPL’s assertion that TRM changes amount to a retroactive application of a regulation in violation of Section 1926 of the Statutory Construction Act of 1972, 1 Pa. C.S. § 1926</w:t>
      </w:r>
      <w:r w:rsidR="00E73B77">
        <w:rPr>
          <w:sz w:val="26"/>
          <w:szCs w:val="26"/>
        </w:rPr>
        <w:t xml:space="preserve">,  we point out, as PPL recognized in its Comments, that the TRM is not a regulation.  The TRM is merely guidance or a statement of policy that is not binding regulation.  </w:t>
      </w:r>
      <w:r w:rsidR="00E73B77" w:rsidRPr="001061B1">
        <w:rPr>
          <w:i/>
          <w:sz w:val="26"/>
          <w:szCs w:val="26"/>
        </w:rPr>
        <w:t xml:space="preserve">See Pa. Human Relations </w:t>
      </w:r>
      <w:proofErr w:type="spellStart"/>
      <w:r w:rsidR="00E73B77" w:rsidRPr="001061B1">
        <w:rPr>
          <w:i/>
          <w:sz w:val="26"/>
          <w:szCs w:val="26"/>
        </w:rPr>
        <w:t>C</w:t>
      </w:r>
      <w:r w:rsidR="001061B1" w:rsidRPr="001061B1">
        <w:rPr>
          <w:i/>
          <w:sz w:val="26"/>
          <w:szCs w:val="26"/>
        </w:rPr>
        <w:t>omm’n</w:t>
      </w:r>
      <w:proofErr w:type="spellEnd"/>
      <w:r w:rsidR="001061B1" w:rsidRPr="001061B1">
        <w:rPr>
          <w:i/>
          <w:sz w:val="26"/>
          <w:szCs w:val="26"/>
        </w:rPr>
        <w:t xml:space="preserve"> v. Norristown Area School Dist.</w:t>
      </w:r>
      <w:r w:rsidR="001061B1">
        <w:rPr>
          <w:sz w:val="26"/>
          <w:szCs w:val="26"/>
        </w:rPr>
        <w:t>, 473 Pa. 334, 3</w:t>
      </w:r>
      <w:r w:rsidR="008934B2">
        <w:rPr>
          <w:sz w:val="26"/>
          <w:szCs w:val="26"/>
        </w:rPr>
        <w:t>50</w:t>
      </w:r>
      <w:r w:rsidR="001061B1">
        <w:rPr>
          <w:sz w:val="26"/>
          <w:szCs w:val="26"/>
        </w:rPr>
        <w:t xml:space="preserve">, </w:t>
      </w:r>
      <w:proofErr w:type="gramStart"/>
      <w:r w:rsidR="001061B1">
        <w:rPr>
          <w:sz w:val="26"/>
          <w:szCs w:val="26"/>
        </w:rPr>
        <w:t>374 A.2d 671, 679</w:t>
      </w:r>
      <w:proofErr w:type="gramEnd"/>
      <w:r w:rsidR="001061B1">
        <w:rPr>
          <w:sz w:val="26"/>
          <w:szCs w:val="26"/>
        </w:rPr>
        <w:t xml:space="preserve"> (1977).  </w:t>
      </w:r>
      <w:r w:rsidR="008934B2">
        <w:rPr>
          <w:sz w:val="26"/>
          <w:szCs w:val="26"/>
        </w:rPr>
        <w:t xml:space="preserve">If necessary, a final determination of </w:t>
      </w:r>
      <w:r w:rsidR="008934B2">
        <w:rPr>
          <w:sz w:val="26"/>
          <w:szCs w:val="26"/>
        </w:rPr>
        <w:lastRenderedPageBreak/>
        <w:t xml:space="preserve">an EDC’s EE&amp;C Plan’s </w:t>
      </w:r>
      <w:r w:rsidR="00EC57D4">
        <w:rPr>
          <w:sz w:val="26"/>
          <w:szCs w:val="26"/>
        </w:rPr>
        <w:t>energy savings will be determined in a</w:t>
      </w:r>
      <w:r w:rsidR="00F979F7">
        <w:rPr>
          <w:sz w:val="26"/>
          <w:szCs w:val="26"/>
        </w:rPr>
        <w:t xml:space="preserve">n adjudicatory </w:t>
      </w:r>
      <w:r w:rsidR="00EC57D4">
        <w:rPr>
          <w:sz w:val="26"/>
          <w:szCs w:val="26"/>
        </w:rPr>
        <w:t xml:space="preserve">proceeding where the EDC will be afforded the opportunity to present evidence demonstrating what energy savings its plan obtained and the credibility of that evidence.  </w:t>
      </w:r>
      <w:r w:rsidR="00F979F7">
        <w:rPr>
          <w:sz w:val="26"/>
          <w:szCs w:val="26"/>
        </w:rPr>
        <w:t>An EDC is free to use any method to determine the energy savings produced by its plan, in place of the TRM, provided it can support such determinations with substantial credible evidence</w:t>
      </w:r>
      <w:r w:rsidR="004A7238">
        <w:rPr>
          <w:sz w:val="26"/>
          <w:szCs w:val="26"/>
        </w:rPr>
        <w:t>, if necessary</w:t>
      </w:r>
      <w:r w:rsidR="00F979F7">
        <w:rPr>
          <w:sz w:val="26"/>
          <w:szCs w:val="26"/>
        </w:rPr>
        <w:t>.</w:t>
      </w:r>
      <w:r w:rsidR="004A7238">
        <w:rPr>
          <w:sz w:val="26"/>
          <w:szCs w:val="26"/>
        </w:rPr>
        <w:t xml:space="preserve">  Furthermore, by updating the TRM methods and values based on the most recent credible and accurate </w:t>
      </w:r>
      <w:r w:rsidR="003A556C">
        <w:rPr>
          <w:sz w:val="26"/>
          <w:szCs w:val="26"/>
        </w:rPr>
        <w:t>data and facts</w:t>
      </w:r>
      <w:r w:rsidR="003830DA">
        <w:rPr>
          <w:sz w:val="26"/>
          <w:szCs w:val="26"/>
        </w:rPr>
        <w:t>,</w:t>
      </w:r>
      <w:r w:rsidR="003A556C">
        <w:rPr>
          <w:sz w:val="26"/>
          <w:szCs w:val="26"/>
        </w:rPr>
        <w:t xml:space="preserve"> as they become known, is likely to reduce challenges to the credibility of the energy savings attributable to the EDCs’ Plans in any future proceeding.</w:t>
      </w:r>
    </w:p>
    <w:p w:rsidR="003A556C" w:rsidRDefault="003A556C" w:rsidP="00B0751F">
      <w:pPr>
        <w:spacing w:line="360" w:lineRule="auto"/>
        <w:ind w:firstLine="720"/>
        <w:rPr>
          <w:sz w:val="26"/>
          <w:szCs w:val="26"/>
        </w:rPr>
      </w:pPr>
    </w:p>
    <w:p w:rsidR="006B5753" w:rsidRPr="00EB3F80" w:rsidRDefault="00755D49" w:rsidP="006B5753">
      <w:pPr>
        <w:spacing w:line="360" w:lineRule="auto"/>
        <w:jc w:val="center"/>
        <w:rPr>
          <w:sz w:val="26"/>
          <w:szCs w:val="26"/>
        </w:rPr>
      </w:pPr>
      <w:r w:rsidRPr="00755D49">
        <w:rPr>
          <w:b/>
          <w:sz w:val="26"/>
          <w:szCs w:val="26"/>
        </w:rPr>
        <w:t>CONCLUSION</w:t>
      </w:r>
    </w:p>
    <w:p w:rsidR="006B5753" w:rsidRPr="00EB3F80" w:rsidRDefault="006B5753" w:rsidP="006B5753">
      <w:pPr>
        <w:spacing w:line="360" w:lineRule="auto"/>
        <w:jc w:val="center"/>
        <w:rPr>
          <w:sz w:val="26"/>
          <w:szCs w:val="26"/>
        </w:rPr>
      </w:pPr>
    </w:p>
    <w:p w:rsidR="006B5753" w:rsidRPr="00EB3F80" w:rsidRDefault="006B5753" w:rsidP="006B5753">
      <w:pPr>
        <w:spacing w:line="360" w:lineRule="auto"/>
        <w:rPr>
          <w:b/>
          <w:sz w:val="26"/>
          <w:szCs w:val="26"/>
        </w:rPr>
      </w:pPr>
      <w:r w:rsidRPr="00EB3F80">
        <w:rPr>
          <w:sz w:val="26"/>
          <w:szCs w:val="26"/>
        </w:rPr>
        <w:tab/>
        <w:t xml:space="preserve">This Order represents the Commission’s continuing efforts to establish a comprehensive TRM that supports the purposes of both the AEPS Act and the EE&amp;C program established by Act 129.  We extend our thanks to all who provided comments.  </w:t>
      </w:r>
      <w:r w:rsidRPr="00EB3F80">
        <w:rPr>
          <w:b/>
          <w:sz w:val="26"/>
          <w:szCs w:val="26"/>
        </w:rPr>
        <w:t>THEREFORE,</w:t>
      </w:r>
    </w:p>
    <w:p w:rsidR="006B5753" w:rsidRPr="00EB3F80" w:rsidRDefault="006B5753" w:rsidP="006B5753">
      <w:pPr>
        <w:tabs>
          <w:tab w:val="left" w:pos="742"/>
        </w:tabs>
        <w:spacing w:line="360" w:lineRule="auto"/>
        <w:rPr>
          <w:sz w:val="26"/>
          <w:szCs w:val="26"/>
        </w:rPr>
      </w:pPr>
    </w:p>
    <w:p w:rsidR="006B5753" w:rsidRPr="00EB3F80" w:rsidRDefault="006B5753" w:rsidP="006B5753">
      <w:pPr>
        <w:spacing w:line="360" w:lineRule="auto"/>
        <w:rPr>
          <w:b/>
          <w:bCs/>
          <w:sz w:val="26"/>
          <w:szCs w:val="26"/>
        </w:rPr>
      </w:pPr>
      <w:r w:rsidRPr="00EB3F80">
        <w:rPr>
          <w:b/>
          <w:bCs/>
          <w:sz w:val="26"/>
          <w:szCs w:val="26"/>
        </w:rPr>
        <w:tab/>
        <w:t>IT IS ORDERED:</w:t>
      </w:r>
    </w:p>
    <w:p w:rsidR="009F1B07" w:rsidRDefault="009F1B07" w:rsidP="009F1B07">
      <w:pPr>
        <w:spacing w:line="360" w:lineRule="auto"/>
        <w:rPr>
          <w:bCs/>
          <w:sz w:val="26"/>
          <w:szCs w:val="26"/>
        </w:rPr>
      </w:pPr>
    </w:p>
    <w:p w:rsidR="00336588" w:rsidRPr="009F1B07" w:rsidRDefault="00BE0C2C" w:rsidP="00EF37D7">
      <w:pPr>
        <w:pStyle w:val="ListParagraph"/>
        <w:numPr>
          <w:ilvl w:val="2"/>
          <w:numId w:val="5"/>
        </w:numPr>
        <w:tabs>
          <w:tab w:val="clear" w:pos="2160"/>
          <w:tab w:val="num" w:pos="-2610"/>
        </w:tabs>
        <w:spacing w:line="360" w:lineRule="auto"/>
        <w:ind w:left="0" w:firstLine="0"/>
        <w:rPr>
          <w:bCs/>
          <w:sz w:val="26"/>
          <w:szCs w:val="26"/>
        </w:rPr>
      </w:pPr>
      <w:r w:rsidRPr="00553887">
        <w:rPr>
          <w:bCs/>
          <w:sz w:val="26"/>
          <w:szCs w:val="26"/>
        </w:rPr>
        <w:t>That the 201</w:t>
      </w:r>
      <w:r>
        <w:rPr>
          <w:bCs/>
          <w:sz w:val="26"/>
          <w:szCs w:val="26"/>
        </w:rPr>
        <w:t>1</w:t>
      </w:r>
      <w:r w:rsidRPr="00553887">
        <w:rPr>
          <w:bCs/>
          <w:sz w:val="26"/>
          <w:szCs w:val="26"/>
        </w:rPr>
        <w:t xml:space="preserve"> Technical Reference Manual update </w:t>
      </w:r>
      <w:r>
        <w:rPr>
          <w:bCs/>
          <w:sz w:val="26"/>
          <w:szCs w:val="26"/>
        </w:rPr>
        <w:t xml:space="preserve">as modified by this Order </w:t>
      </w:r>
      <w:r w:rsidRPr="00553887">
        <w:rPr>
          <w:bCs/>
          <w:sz w:val="26"/>
          <w:szCs w:val="26"/>
        </w:rPr>
        <w:t xml:space="preserve">is adopted and replaces all prior versions of the Technical Reference Manual as of </w:t>
      </w:r>
      <w:r>
        <w:rPr>
          <w:bCs/>
          <w:sz w:val="26"/>
          <w:szCs w:val="26"/>
        </w:rPr>
        <w:t>June 1, 2011</w:t>
      </w:r>
      <w:r w:rsidRPr="00553887">
        <w:rPr>
          <w:bCs/>
          <w:sz w:val="26"/>
          <w:szCs w:val="26"/>
        </w:rPr>
        <w:t>.</w:t>
      </w:r>
      <w:r w:rsidR="00336588" w:rsidRPr="009F1B07">
        <w:rPr>
          <w:bCs/>
          <w:sz w:val="26"/>
          <w:szCs w:val="26"/>
        </w:rPr>
        <w:t xml:space="preserve">  </w:t>
      </w:r>
    </w:p>
    <w:p w:rsidR="009F1B07" w:rsidRDefault="009F1B07" w:rsidP="00EF37D7">
      <w:pPr>
        <w:spacing w:line="360" w:lineRule="auto"/>
        <w:rPr>
          <w:bCs/>
          <w:sz w:val="26"/>
          <w:szCs w:val="26"/>
        </w:rPr>
      </w:pPr>
    </w:p>
    <w:p w:rsidR="000C4FC8" w:rsidRPr="00042A0B" w:rsidRDefault="00042A0B" w:rsidP="00042A0B">
      <w:pPr>
        <w:tabs>
          <w:tab w:val="num" w:pos="-1800"/>
        </w:tabs>
        <w:spacing w:line="360" w:lineRule="auto"/>
        <w:rPr>
          <w:bCs/>
          <w:sz w:val="26"/>
          <w:szCs w:val="26"/>
        </w:rPr>
      </w:pPr>
      <w:r>
        <w:rPr>
          <w:bCs/>
          <w:sz w:val="26"/>
          <w:szCs w:val="26"/>
        </w:rPr>
        <w:t>2.</w:t>
      </w:r>
      <w:r>
        <w:rPr>
          <w:bCs/>
          <w:sz w:val="26"/>
          <w:szCs w:val="26"/>
        </w:rPr>
        <w:tab/>
      </w:r>
      <w:r w:rsidR="000C4FC8" w:rsidRPr="00042A0B">
        <w:rPr>
          <w:bCs/>
          <w:sz w:val="26"/>
          <w:szCs w:val="26"/>
        </w:rPr>
        <w:t xml:space="preserve">That </w:t>
      </w:r>
      <w:r>
        <w:rPr>
          <w:bCs/>
          <w:sz w:val="26"/>
          <w:szCs w:val="26"/>
        </w:rPr>
        <w:t xml:space="preserve">any change to the Technical Reference Manual suggested by a Commenter that was not adopted in the </w:t>
      </w:r>
      <w:r w:rsidRPr="00553887">
        <w:rPr>
          <w:bCs/>
          <w:sz w:val="26"/>
          <w:szCs w:val="26"/>
        </w:rPr>
        <w:t>201</w:t>
      </w:r>
      <w:r>
        <w:rPr>
          <w:bCs/>
          <w:sz w:val="26"/>
          <w:szCs w:val="26"/>
        </w:rPr>
        <w:t>1</w:t>
      </w:r>
      <w:r w:rsidRPr="00553887">
        <w:rPr>
          <w:bCs/>
          <w:sz w:val="26"/>
          <w:szCs w:val="26"/>
        </w:rPr>
        <w:t xml:space="preserve"> Technical Reference Manual update </w:t>
      </w:r>
      <w:r w:rsidR="00B350C2">
        <w:rPr>
          <w:bCs/>
          <w:sz w:val="26"/>
          <w:szCs w:val="26"/>
        </w:rPr>
        <w:t xml:space="preserve">be referred to </w:t>
      </w:r>
      <w:r w:rsidR="000C4FC8" w:rsidRPr="00042A0B">
        <w:rPr>
          <w:bCs/>
          <w:sz w:val="26"/>
          <w:szCs w:val="26"/>
        </w:rPr>
        <w:t xml:space="preserve">the Technical Working Group </w:t>
      </w:r>
      <w:r w:rsidR="00B350C2">
        <w:rPr>
          <w:bCs/>
          <w:sz w:val="26"/>
          <w:szCs w:val="26"/>
        </w:rPr>
        <w:t xml:space="preserve">for further </w:t>
      </w:r>
      <w:r>
        <w:rPr>
          <w:bCs/>
          <w:sz w:val="26"/>
          <w:szCs w:val="26"/>
        </w:rPr>
        <w:t>review</w:t>
      </w:r>
      <w:r w:rsidR="00B350C2">
        <w:rPr>
          <w:bCs/>
          <w:sz w:val="26"/>
          <w:szCs w:val="26"/>
        </w:rPr>
        <w:t xml:space="preserve"> and </w:t>
      </w:r>
      <w:r w:rsidR="000C4FC8" w:rsidRPr="00042A0B">
        <w:rPr>
          <w:bCs/>
          <w:sz w:val="26"/>
          <w:szCs w:val="26"/>
        </w:rPr>
        <w:t>discuss</w:t>
      </w:r>
      <w:r w:rsidR="00B350C2">
        <w:rPr>
          <w:bCs/>
          <w:sz w:val="26"/>
          <w:szCs w:val="26"/>
        </w:rPr>
        <w:t xml:space="preserve">ion for inclusion in future </w:t>
      </w:r>
      <w:r w:rsidR="00B350C2" w:rsidRPr="00553887">
        <w:rPr>
          <w:bCs/>
          <w:sz w:val="26"/>
          <w:szCs w:val="26"/>
        </w:rPr>
        <w:t>Technical Reference Manual update</w:t>
      </w:r>
      <w:r w:rsidR="00B350C2">
        <w:rPr>
          <w:bCs/>
          <w:sz w:val="26"/>
          <w:szCs w:val="26"/>
        </w:rPr>
        <w:t>s</w:t>
      </w:r>
      <w:r w:rsidR="000C4FC8" w:rsidRPr="00042A0B">
        <w:rPr>
          <w:bCs/>
          <w:sz w:val="26"/>
          <w:szCs w:val="26"/>
        </w:rPr>
        <w:t>.</w:t>
      </w:r>
    </w:p>
    <w:p w:rsidR="009F1B07" w:rsidRDefault="009F1B07" w:rsidP="00EF37D7">
      <w:pPr>
        <w:spacing w:line="360" w:lineRule="auto"/>
        <w:rPr>
          <w:bCs/>
          <w:sz w:val="26"/>
          <w:szCs w:val="26"/>
        </w:rPr>
      </w:pPr>
    </w:p>
    <w:p w:rsidR="000C4FC8" w:rsidRPr="00B350C2" w:rsidRDefault="00B350C2" w:rsidP="00B350C2">
      <w:pPr>
        <w:tabs>
          <w:tab w:val="num" w:pos="-2070"/>
        </w:tabs>
        <w:spacing w:line="360" w:lineRule="auto"/>
        <w:rPr>
          <w:bCs/>
          <w:sz w:val="26"/>
          <w:szCs w:val="26"/>
        </w:rPr>
      </w:pPr>
      <w:r>
        <w:rPr>
          <w:bCs/>
          <w:sz w:val="26"/>
          <w:szCs w:val="26"/>
        </w:rPr>
        <w:lastRenderedPageBreak/>
        <w:t>3.</w:t>
      </w:r>
      <w:r>
        <w:rPr>
          <w:bCs/>
          <w:sz w:val="26"/>
          <w:szCs w:val="26"/>
        </w:rPr>
        <w:tab/>
      </w:r>
      <w:r w:rsidR="000C4FC8" w:rsidRPr="00B350C2">
        <w:rPr>
          <w:bCs/>
          <w:sz w:val="26"/>
          <w:szCs w:val="26"/>
        </w:rPr>
        <w:t xml:space="preserve">That the Technical Working Group </w:t>
      </w:r>
      <w:r w:rsidRPr="00B350C2">
        <w:rPr>
          <w:bCs/>
          <w:sz w:val="26"/>
          <w:szCs w:val="26"/>
        </w:rPr>
        <w:t xml:space="preserve">is directed </w:t>
      </w:r>
      <w:r w:rsidR="00A15D82" w:rsidRPr="00B350C2">
        <w:rPr>
          <w:bCs/>
          <w:sz w:val="26"/>
          <w:szCs w:val="26"/>
        </w:rPr>
        <w:t xml:space="preserve">to discuss and develop </w:t>
      </w:r>
      <w:r>
        <w:rPr>
          <w:bCs/>
          <w:sz w:val="26"/>
          <w:szCs w:val="26"/>
        </w:rPr>
        <w:t>compact fluorescent lighting</w:t>
      </w:r>
      <w:r w:rsidR="00A15D82" w:rsidRPr="00B350C2">
        <w:rPr>
          <w:bCs/>
          <w:sz w:val="26"/>
          <w:szCs w:val="26"/>
        </w:rPr>
        <w:t xml:space="preserve"> hours of use study proposals to be submitted to the Commission by June 1, 2011</w:t>
      </w:r>
      <w:r w:rsidR="000D54CC">
        <w:rPr>
          <w:bCs/>
          <w:sz w:val="26"/>
          <w:szCs w:val="26"/>
        </w:rPr>
        <w:t>, as outlined in this Order.</w:t>
      </w:r>
    </w:p>
    <w:p w:rsidR="006B5753" w:rsidRPr="00EB3F80" w:rsidRDefault="006B5753" w:rsidP="00EF37D7">
      <w:pPr>
        <w:spacing w:line="360" w:lineRule="auto"/>
        <w:rPr>
          <w:bCs/>
          <w:sz w:val="26"/>
          <w:szCs w:val="26"/>
        </w:rPr>
      </w:pPr>
    </w:p>
    <w:p w:rsidR="006B5753" w:rsidRPr="000D4441" w:rsidRDefault="000D4441" w:rsidP="000D4441">
      <w:pPr>
        <w:tabs>
          <w:tab w:val="num" w:pos="-2970"/>
        </w:tabs>
        <w:spacing w:line="360" w:lineRule="auto"/>
        <w:rPr>
          <w:bCs/>
          <w:sz w:val="26"/>
          <w:szCs w:val="26"/>
        </w:rPr>
      </w:pPr>
      <w:r>
        <w:rPr>
          <w:bCs/>
          <w:sz w:val="26"/>
          <w:szCs w:val="26"/>
        </w:rPr>
        <w:t>4.</w:t>
      </w:r>
      <w:r>
        <w:rPr>
          <w:bCs/>
          <w:sz w:val="26"/>
          <w:szCs w:val="26"/>
        </w:rPr>
        <w:tab/>
      </w:r>
      <w:r w:rsidR="006B5753" w:rsidRPr="000D4441">
        <w:rPr>
          <w:bCs/>
          <w:sz w:val="26"/>
          <w:szCs w:val="26"/>
        </w:rPr>
        <w:t>That a copy of this Order shall be served upon the Office of Consumer Advocate, the Office of Small Business Advocate, the Office of Trial Staff, all jurisdictional electric distribution companies, all licensed electric generation suppliers, the Pennsylvania Department of Environmental Protection</w:t>
      </w:r>
      <w:r w:rsidR="003D1FBA" w:rsidRPr="000D4441">
        <w:rPr>
          <w:bCs/>
          <w:sz w:val="26"/>
          <w:szCs w:val="26"/>
        </w:rPr>
        <w:t xml:space="preserve"> and al</w:t>
      </w:r>
      <w:r w:rsidR="00DE59EA" w:rsidRPr="000D4441">
        <w:rPr>
          <w:bCs/>
          <w:sz w:val="26"/>
          <w:szCs w:val="26"/>
        </w:rPr>
        <w:t>l parties who filed comments</w:t>
      </w:r>
      <w:r w:rsidR="006B5753" w:rsidRPr="000D4441">
        <w:rPr>
          <w:bCs/>
          <w:sz w:val="26"/>
          <w:szCs w:val="26"/>
        </w:rPr>
        <w:t>.</w:t>
      </w:r>
    </w:p>
    <w:p w:rsidR="006B5753" w:rsidRPr="00EB3F80" w:rsidRDefault="006B5753" w:rsidP="00EF37D7">
      <w:pPr>
        <w:spacing w:line="360" w:lineRule="auto"/>
        <w:rPr>
          <w:bCs/>
          <w:sz w:val="26"/>
          <w:szCs w:val="26"/>
        </w:rPr>
      </w:pPr>
    </w:p>
    <w:p w:rsidR="006B5753" w:rsidRPr="000D4441" w:rsidRDefault="000D4441" w:rsidP="000D4441">
      <w:pPr>
        <w:tabs>
          <w:tab w:val="num" w:pos="-1620"/>
        </w:tabs>
        <w:spacing w:line="360" w:lineRule="auto"/>
        <w:rPr>
          <w:bCs/>
          <w:sz w:val="26"/>
          <w:szCs w:val="26"/>
        </w:rPr>
      </w:pPr>
      <w:r>
        <w:rPr>
          <w:bCs/>
          <w:sz w:val="26"/>
          <w:szCs w:val="26"/>
        </w:rPr>
        <w:t>5.</w:t>
      </w:r>
      <w:r>
        <w:rPr>
          <w:bCs/>
          <w:sz w:val="26"/>
          <w:szCs w:val="26"/>
        </w:rPr>
        <w:tab/>
      </w:r>
      <w:r w:rsidR="006B5753" w:rsidRPr="000D4441">
        <w:rPr>
          <w:bCs/>
          <w:sz w:val="26"/>
          <w:szCs w:val="26"/>
        </w:rPr>
        <w:t xml:space="preserve">That the Secretary shall deposit a notice of this Order and </w:t>
      </w:r>
      <w:r w:rsidR="003D1FBA" w:rsidRPr="000D4441">
        <w:rPr>
          <w:bCs/>
          <w:sz w:val="26"/>
          <w:szCs w:val="26"/>
        </w:rPr>
        <w:t>the 2011 Technical Reference Manual</w:t>
      </w:r>
      <w:r w:rsidR="006B5753" w:rsidRPr="000D4441">
        <w:rPr>
          <w:bCs/>
          <w:sz w:val="26"/>
          <w:szCs w:val="26"/>
        </w:rPr>
        <w:t xml:space="preserve"> </w:t>
      </w:r>
      <w:r w:rsidR="00DE59EA" w:rsidRPr="000D4441">
        <w:rPr>
          <w:bCs/>
          <w:sz w:val="26"/>
          <w:szCs w:val="26"/>
        </w:rPr>
        <w:t xml:space="preserve">update </w:t>
      </w:r>
      <w:r w:rsidR="006B5753" w:rsidRPr="000D4441">
        <w:rPr>
          <w:bCs/>
          <w:sz w:val="26"/>
          <w:szCs w:val="26"/>
        </w:rPr>
        <w:t xml:space="preserve">with the Legislative Reference Bureau for publication in the </w:t>
      </w:r>
      <w:r w:rsidR="006B5753" w:rsidRPr="000D4441">
        <w:rPr>
          <w:bCs/>
          <w:i/>
          <w:sz w:val="26"/>
          <w:szCs w:val="26"/>
        </w:rPr>
        <w:t>Pennsylvania Bulletin</w:t>
      </w:r>
      <w:r w:rsidR="006B5753" w:rsidRPr="000D4441">
        <w:rPr>
          <w:bCs/>
          <w:sz w:val="26"/>
          <w:szCs w:val="26"/>
        </w:rPr>
        <w:t>.</w:t>
      </w:r>
    </w:p>
    <w:p w:rsidR="009F1B07" w:rsidRDefault="009F1B07" w:rsidP="00EF37D7">
      <w:pPr>
        <w:spacing w:line="360" w:lineRule="auto"/>
        <w:rPr>
          <w:bCs/>
          <w:sz w:val="26"/>
          <w:szCs w:val="26"/>
        </w:rPr>
      </w:pPr>
    </w:p>
    <w:p w:rsidR="006B5753" w:rsidRPr="000D4441" w:rsidRDefault="000D4441" w:rsidP="000D4441">
      <w:pPr>
        <w:tabs>
          <w:tab w:val="num" w:pos="-1800"/>
        </w:tabs>
        <w:spacing w:line="360" w:lineRule="auto"/>
        <w:rPr>
          <w:bCs/>
          <w:sz w:val="26"/>
          <w:szCs w:val="26"/>
        </w:rPr>
      </w:pPr>
      <w:r>
        <w:rPr>
          <w:bCs/>
          <w:sz w:val="26"/>
          <w:szCs w:val="26"/>
        </w:rPr>
        <w:t>6.</w:t>
      </w:r>
      <w:r>
        <w:rPr>
          <w:bCs/>
          <w:sz w:val="26"/>
          <w:szCs w:val="26"/>
        </w:rPr>
        <w:tab/>
      </w:r>
      <w:r w:rsidR="006B5753" w:rsidRPr="000D4441">
        <w:rPr>
          <w:bCs/>
          <w:sz w:val="26"/>
          <w:szCs w:val="26"/>
        </w:rPr>
        <w:t xml:space="preserve">That this Order and </w:t>
      </w:r>
      <w:r w:rsidR="003D1FBA" w:rsidRPr="000D4441">
        <w:rPr>
          <w:bCs/>
          <w:sz w:val="26"/>
          <w:szCs w:val="26"/>
        </w:rPr>
        <w:t>the 2011 Technical Reference Manual</w:t>
      </w:r>
      <w:r w:rsidR="00DE59EA" w:rsidRPr="000D4441">
        <w:rPr>
          <w:bCs/>
          <w:sz w:val="26"/>
          <w:szCs w:val="26"/>
        </w:rPr>
        <w:t xml:space="preserve"> update</w:t>
      </w:r>
      <w:r w:rsidR="006B5753" w:rsidRPr="000D4441">
        <w:rPr>
          <w:bCs/>
          <w:sz w:val="26"/>
          <w:szCs w:val="26"/>
        </w:rPr>
        <w:t>, as well as supporting data be published on the Commission’s website.</w:t>
      </w:r>
    </w:p>
    <w:p w:rsidR="006B5753" w:rsidRPr="00EB3F80" w:rsidRDefault="006B5753" w:rsidP="006B5753">
      <w:pPr>
        <w:tabs>
          <w:tab w:val="left" w:pos="4320"/>
        </w:tabs>
        <w:rPr>
          <w:sz w:val="26"/>
          <w:szCs w:val="26"/>
        </w:rPr>
      </w:pPr>
      <w:r w:rsidRPr="00EB3F80">
        <w:rPr>
          <w:sz w:val="26"/>
          <w:szCs w:val="26"/>
        </w:rPr>
        <w:tab/>
      </w:r>
      <w:r w:rsidRPr="00EB3F80">
        <w:rPr>
          <w:sz w:val="26"/>
          <w:szCs w:val="26"/>
        </w:rPr>
        <w:tab/>
      </w:r>
      <w:r w:rsidRPr="00EB3F80">
        <w:rPr>
          <w:sz w:val="26"/>
          <w:szCs w:val="26"/>
        </w:rPr>
        <w:tab/>
      </w:r>
    </w:p>
    <w:p w:rsidR="006B5753" w:rsidRPr="00EB3F80" w:rsidRDefault="006B5753" w:rsidP="006B5753">
      <w:pPr>
        <w:tabs>
          <w:tab w:val="left" w:pos="742"/>
        </w:tabs>
        <w:rPr>
          <w:sz w:val="26"/>
          <w:szCs w:val="26"/>
        </w:rPr>
      </w:pPr>
    </w:p>
    <w:p w:rsidR="006B5753" w:rsidRPr="00EB3F80" w:rsidRDefault="0037791B" w:rsidP="006B5753">
      <w:pPr>
        <w:pStyle w:val="p17"/>
        <w:ind w:left="5057"/>
        <w:rPr>
          <w:b/>
          <w:bCs/>
          <w:sz w:val="26"/>
          <w:szCs w:val="26"/>
        </w:rPr>
      </w:pPr>
      <w:r>
        <w:rPr>
          <w:b/>
          <w:bCs/>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101600</wp:posOffset>
            </wp:positionV>
            <wp:extent cx="2200275" cy="838200"/>
            <wp:effectExtent l="19050" t="0" r="9525" b="0"/>
            <wp:wrapNone/>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4FE">
        <w:rPr>
          <w:b/>
          <w:bCs/>
          <w:sz w:val="26"/>
          <w:szCs w:val="26"/>
        </w:rPr>
        <w:t>BY THE COMMISSION</w:t>
      </w:r>
    </w:p>
    <w:p w:rsidR="006B5753" w:rsidRPr="00EB3F80" w:rsidRDefault="006B5753" w:rsidP="006B5753">
      <w:pPr>
        <w:tabs>
          <w:tab w:val="left" w:pos="5057"/>
        </w:tabs>
        <w:rPr>
          <w:bCs/>
          <w:sz w:val="26"/>
          <w:szCs w:val="26"/>
        </w:rPr>
      </w:pPr>
    </w:p>
    <w:p w:rsidR="006B5753" w:rsidRPr="00EB3F80" w:rsidRDefault="006B5753" w:rsidP="006B5753">
      <w:pPr>
        <w:tabs>
          <w:tab w:val="left" w:pos="5057"/>
        </w:tabs>
        <w:rPr>
          <w:b/>
          <w:bCs/>
          <w:sz w:val="26"/>
          <w:szCs w:val="26"/>
        </w:rPr>
      </w:pPr>
    </w:p>
    <w:p w:rsidR="006B5753" w:rsidRPr="00EB3F80" w:rsidRDefault="006B5753" w:rsidP="006B5753">
      <w:pPr>
        <w:tabs>
          <w:tab w:val="left" w:pos="5057"/>
        </w:tabs>
        <w:rPr>
          <w:b/>
          <w:bCs/>
          <w:sz w:val="26"/>
          <w:szCs w:val="26"/>
        </w:rPr>
      </w:pPr>
    </w:p>
    <w:p w:rsidR="006B5753" w:rsidRPr="00EB3F80" w:rsidRDefault="009F34FE" w:rsidP="006B5753">
      <w:pPr>
        <w:pStyle w:val="p18"/>
        <w:ind w:left="5062"/>
        <w:rPr>
          <w:sz w:val="26"/>
          <w:szCs w:val="26"/>
        </w:rPr>
      </w:pPr>
      <w:r>
        <w:rPr>
          <w:sz w:val="26"/>
          <w:szCs w:val="26"/>
        </w:rPr>
        <w:t>Rosemary Chiavetta</w:t>
      </w:r>
    </w:p>
    <w:p w:rsidR="006B5753" w:rsidRPr="00EB3F80" w:rsidRDefault="009F34FE" w:rsidP="006B5753">
      <w:pPr>
        <w:pStyle w:val="p18"/>
        <w:ind w:left="5062"/>
        <w:rPr>
          <w:sz w:val="26"/>
          <w:szCs w:val="26"/>
        </w:rPr>
      </w:pPr>
      <w:r>
        <w:rPr>
          <w:sz w:val="26"/>
          <w:szCs w:val="26"/>
        </w:rPr>
        <w:t>Secretary</w:t>
      </w:r>
    </w:p>
    <w:p w:rsidR="006B5753" w:rsidRPr="00EB3F80" w:rsidRDefault="006B5753" w:rsidP="006B5753">
      <w:pPr>
        <w:tabs>
          <w:tab w:val="left" w:pos="5062"/>
        </w:tabs>
        <w:rPr>
          <w:sz w:val="26"/>
          <w:szCs w:val="26"/>
        </w:rPr>
      </w:pPr>
    </w:p>
    <w:p w:rsidR="006B5753" w:rsidRPr="00EB3F80" w:rsidRDefault="006B5753" w:rsidP="006B5753">
      <w:pPr>
        <w:tabs>
          <w:tab w:val="left" w:pos="5062"/>
        </w:tabs>
        <w:rPr>
          <w:sz w:val="26"/>
          <w:szCs w:val="26"/>
        </w:rPr>
      </w:pPr>
    </w:p>
    <w:p w:rsidR="006B5753" w:rsidRPr="00EB3F80" w:rsidRDefault="006B5753" w:rsidP="006B5753">
      <w:pPr>
        <w:tabs>
          <w:tab w:val="left" w:pos="5062"/>
        </w:tabs>
        <w:rPr>
          <w:sz w:val="26"/>
          <w:szCs w:val="26"/>
        </w:rPr>
      </w:pPr>
    </w:p>
    <w:p w:rsidR="006B5753" w:rsidRPr="00EB3F80" w:rsidRDefault="006B5753" w:rsidP="006B5753">
      <w:pPr>
        <w:tabs>
          <w:tab w:val="left" w:pos="5062"/>
        </w:tabs>
        <w:rPr>
          <w:sz w:val="26"/>
          <w:szCs w:val="26"/>
        </w:rPr>
      </w:pPr>
    </w:p>
    <w:p w:rsidR="006B5753" w:rsidRPr="00EB3F80" w:rsidRDefault="009F34FE" w:rsidP="006B5753">
      <w:pPr>
        <w:pStyle w:val="p14"/>
        <w:rPr>
          <w:sz w:val="26"/>
          <w:szCs w:val="26"/>
        </w:rPr>
      </w:pPr>
      <w:r>
        <w:rPr>
          <w:sz w:val="26"/>
          <w:szCs w:val="26"/>
        </w:rPr>
        <w:t>(SEAL)</w:t>
      </w:r>
    </w:p>
    <w:p w:rsidR="006B5753" w:rsidRPr="00EB3F80" w:rsidRDefault="006B5753" w:rsidP="006B5753">
      <w:pPr>
        <w:tabs>
          <w:tab w:val="left" w:pos="204"/>
        </w:tabs>
        <w:rPr>
          <w:sz w:val="26"/>
          <w:szCs w:val="26"/>
        </w:rPr>
      </w:pPr>
    </w:p>
    <w:p w:rsidR="006B5753" w:rsidRPr="00EB3F80" w:rsidRDefault="009F34FE" w:rsidP="006B5753">
      <w:pPr>
        <w:pStyle w:val="p14"/>
        <w:rPr>
          <w:sz w:val="26"/>
          <w:szCs w:val="26"/>
        </w:rPr>
      </w:pPr>
      <w:r w:rsidRPr="009F34FE">
        <w:rPr>
          <w:sz w:val="26"/>
          <w:szCs w:val="26"/>
        </w:rPr>
        <w:t xml:space="preserve">ORDER ADOPTED:  </w:t>
      </w:r>
      <w:r w:rsidR="003F48AE">
        <w:rPr>
          <w:sz w:val="26"/>
          <w:szCs w:val="26"/>
        </w:rPr>
        <w:t>February 24</w:t>
      </w:r>
      <w:r w:rsidR="006B5753" w:rsidRPr="00EB3F80">
        <w:rPr>
          <w:sz w:val="26"/>
          <w:szCs w:val="26"/>
        </w:rPr>
        <w:t>, 201</w:t>
      </w:r>
      <w:r w:rsidR="00274B50" w:rsidRPr="00EB3F80">
        <w:rPr>
          <w:sz w:val="26"/>
          <w:szCs w:val="26"/>
        </w:rPr>
        <w:t>1</w:t>
      </w:r>
    </w:p>
    <w:p w:rsidR="006B5753" w:rsidRPr="00EB3F80" w:rsidRDefault="006B5753" w:rsidP="006B5753">
      <w:pPr>
        <w:pStyle w:val="p14"/>
        <w:rPr>
          <w:sz w:val="26"/>
          <w:szCs w:val="26"/>
        </w:rPr>
      </w:pPr>
    </w:p>
    <w:p w:rsidR="006B5753" w:rsidRPr="00EB3F80" w:rsidRDefault="006B5753" w:rsidP="006B5753">
      <w:pPr>
        <w:pStyle w:val="p14"/>
        <w:rPr>
          <w:sz w:val="26"/>
          <w:szCs w:val="26"/>
        </w:rPr>
      </w:pPr>
      <w:r w:rsidRPr="00EB3F80">
        <w:rPr>
          <w:sz w:val="26"/>
          <w:szCs w:val="26"/>
        </w:rPr>
        <w:t xml:space="preserve">ORDER ENTERED:  </w:t>
      </w:r>
      <w:r w:rsidR="0037791B">
        <w:rPr>
          <w:sz w:val="26"/>
          <w:szCs w:val="26"/>
        </w:rPr>
        <w:t>February 28, 2011</w:t>
      </w:r>
    </w:p>
    <w:p w:rsidR="002712BF" w:rsidRPr="00EB3F80" w:rsidRDefault="002712BF" w:rsidP="006B5753">
      <w:pPr>
        <w:pStyle w:val="p14"/>
        <w:rPr>
          <w:sz w:val="26"/>
          <w:szCs w:val="26"/>
        </w:rPr>
      </w:pPr>
    </w:p>
    <w:p w:rsidR="002712BF" w:rsidRPr="00EB3F80" w:rsidRDefault="002712BF" w:rsidP="006B5753">
      <w:pPr>
        <w:pStyle w:val="p14"/>
        <w:rPr>
          <w:sz w:val="26"/>
          <w:szCs w:val="26"/>
        </w:rPr>
      </w:pPr>
    </w:p>
    <w:p w:rsidR="002712BF" w:rsidRPr="00EB3F80" w:rsidRDefault="002712BF" w:rsidP="00274B50">
      <w:pPr>
        <w:overflowPunct/>
        <w:autoSpaceDE/>
        <w:autoSpaceDN/>
        <w:adjustRightInd/>
        <w:spacing w:after="200" w:line="276" w:lineRule="auto"/>
        <w:jc w:val="center"/>
        <w:textAlignment w:val="auto"/>
        <w:rPr>
          <w:sz w:val="26"/>
          <w:szCs w:val="26"/>
        </w:rPr>
      </w:pPr>
    </w:p>
    <w:sectPr w:rsidR="002712BF" w:rsidRPr="00EB3F80" w:rsidSect="00122F7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212" w:rsidRDefault="00AA7212" w:rsidP="006B5753">
      <w:r>
        <w:separator/>
      </w:r>
    </w:p>
  </w:endnote>
  <w:endnote w:type="continuationSeparator" w:id="0">
    <w:p w:rsidR="00AA7212" w:rsidRDefault="00AA7212" w:rsidP="006B5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06016"/>
      <w:docPartObj>
        <w:docPartGallery w:val="Page Numbers (Bottom of Page)"/>
        <w:docPartUnique/>
      </w:docPartObj>
    </w:sdtPr>
    <w:sdtContent>
      <w:p w:rsidR="00EC57D4" w:rsidRDefault="00C31723">
        <w:pPr>
          <w:pStyle w:val="Footer"/>
          <w:jc w:val="center"/>
        </w:pPr>
        <w:fldSimple w:instr=" PAGE   \* MERGEFORMAT ">
          <w:r w:rsidR="0037791B">
            <w:rPr>
              <w:noProof/>
            </w:rPr>
            <w:t>51</w:t>
          </w:r>
        </w:fldSimple>
      </w:p>
    </w:sdtContent>
  </w:sdt>
  <w:p w:rsidR="00EC57D4" w:rsidRDefault="00EC5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212" w:rsidRDefault="00AA7212" w:rsidP="006B5753">
      <w:r>
        <w:separator/>
      </w:r>
    </w:p>
  </w:footnote>
  <w:footnote w:type="continuationSeparator" w:id="0">
    <w:p w:rsidR="00AA7212" w:rsidRDefault="00AA7212" w:rsidP="006B5753">
      <w:r>
        <w:continuationSeparator/>
      </w:r>
    </w:p>
  </w:footnote>
  <w:footnote w:id="1">
    <w:p w:rsidR="00EC57D4" w:rsidRPr="00407732" w:rsidRDefault="00EC57D4">
      <w:pPr>
        <w:pStyle w:val="FootnoteText"/>
        <w:rPr>
          <w:sz w:val="22"/>
          <w:szCs w:val="22"/>
        </w:rPr>
      </w:pPr>
      <w:r w:rsidRPr="00407732">
        <w:rPr>
          <w:rStyle w:val="FootnoteReference"/>
          <w:sz w:val="22"/>
          <w:szCs w:val="22"/>
        </w:rPr>
        <w:footnoteRef/>
      </w:r>
      <w:r w:rsidRPr="00407732">
        <w:rPr>
          <w:sz w:val="22"/>
          <w:szCs w:val="22"/>
        </w:rPr>
        <w:t xml:space="preserve"> </w:t>
      </w:r>
      <w:r w:rsidRPr="00407732">
        <w:rPr>
          <w:i/>
          <w:sz w:val="22"/>
          <w:szCs w:val="22"/>
        </w:rPr>
        <w:t>See</w:t>
      </w:r>
      <w:r w:rsidRPr="00407732">
        <w:rPr>
          <w:sz w:val="22"/>
          <w:szCs w:val="22"/>
        </w:rPr>
        <w:t xml:space="preserve"> 73 P.S. §§ 1648.1-1648.8 and 66 Pa. C.S. § 2814.</w:t>
      </w:r>
    </w:p>
  </w:footnote>
  <w:footnote w:id="2">
    <w:p w:rsidR="00EC57D4" w:rsidRDefault="00EC57D4" w:rsidP="006B5753">
      <w:pPr>
        <w:pStyle w:val="FootnoteText"/>
      </w:pPr>
      <w:r w:rsidRPr="001A5CCF">
        <w:rPr>
          <w:rStyle w:val="FootnoteReference"/>
          <w:sz w:val="22"/>
          <w:szCs w:val="22"/>
        </w:rPr>
        <w:footnoteRef/>
      </w:r>
      <w:r w:rsidRPr="001A5CCF">
        <w:rPr>
          <w:sz w:val="22"/>
          <w:szCs w:val="22"/>
        </w:rPr>
        <w:t xml:space="preserve"> Order entered on October 3, 2005, under the above</w:t>
      </w:r>
      <w:r>
        <w:rPr>
          <w:sz w:val="22"/>
          <w:szCs w:val="22"/>
        </w:rPr>
        <w:t>-</w:t>
      </w:r>
      <w:r w:rsidRPr="001A5CCF">
        <w:rPr>
          <w:sz w:val="22"/>
          <w:szCs w:val="22"/>
        </w:rPr>
        <w:t>referenced caption and Docket Number.</w:t>
      </w:r>
    </w:p>
  </w:footnote>
  <w:footnote w:id="3">
    <w:p w:rsidR="00EC57D4" w:rsidRDefault="00EC57D4" w:rsidP="006B5753">
      <w:pPr>
        <w:pStyle w:val="FootnoteText"/>
      </w:pPr>
      <w:r w:rsidRPr="00C51AED">
        <w:rPr>
          <w:rStyle w:val="FootnoteReference"/>
          <w:sz w:val="22"/>
          <w:szCs w:val="22"/>
        </w:rPr>
        <w:footnoteRef/>
      </w:r>
      <w:r w:rsidRPr="00C51AED">
        <w:rPr>
          <w:sz w:val="22"/>
          <w:szCs w:val="22"/>
        </w:rPr>
        <w:t xml:space="preserve"> </w:t>
      </w:r>
      <w:proofErr w:type="gramStart"/>
      <w:r w:rsidRPr="00C51AED">
        <w:rPr>
          <w:i/>
          <w:sz w:val="22"/>
          <w:szCs w:val="22"/>
        </w:rPr>
        <w:t>Id</w:t>
      </w:r>
      <w:r w:rsidRPr="00C51AED">
        <w:rPr>
          <w:sz w:val="22"/>
          <w:szCs w:val="22"/>
        </w:rPr>
        <w:t>. at page 13.</w:t>
      </w:r>
      <w:proofErr w:type="gramEnd"/>
    </w:p>
  </w:footnote>
  <w:footnote w:id="4">
    <w:p w:rsidR="00EC57D4" w:rsidRDefault="00EC57D4" w:rsidP="006B5753">
      <w:pPr>
        <w:pStyle w:val="FootnoteText"/>
      </w:pPr>
      <w:r w:rsidRPr="00501B6A">
        <w:rPr>
          <w:rStyle w:val="FootnoteReference"/>
          <w:sz w:val="22"/>
          <w:szCs w:val="22"/>
        </w:rPr>
        <w:footnoteRef/>
      </w:r>
      <w:r w:rsidRPr="00501B6A">
        <w:rPr>
          <w:sz w:val="22"/>
          <w:szCs w:val="22"/>
        </w:rPr>
        <w:t xml:space="preserve"> Order entered on January 16, 2009, at Docket No. </w:t>
      </w:r>
      <w:proofErr w:type="gramStart"/>
      <w:r w:rsidRPr="00501B6A">
        <w:rPr>
          <w:sz w:val="22"/>
          <w:szCs w:val="22"/>
        </w:rPr>
        <w:t>M</w:t>
      </w:r>
      <w:r w:rsidRPr="00501B6A">
        <w:rPr>
          <w:sz w:val="22"/>
          <w:szCs w:val="22"/>
        </w:rPr>
        <w:noBreakHyphen/>
        <w:t>2008</w:t>
      </w:r>
      <w:r w:rsidRPr="00501B6A">
        <w:rPr>
          <w:sz w:val="22"/>
          <w:szCs w:val="22"/>
        </w:rPr>
        <w:noBreakHyphen/>
        <w:t>2069887, at page 13</w:t>
      </w:r>
      <w:r>
        <w:rPr>
          <w:sz w:val="22"/>
          <w:szCs w:val="22"/>
        </w:rPr>
        <w:t xml:space="preserve"> (</w:t>
      </w:r>
      <w:r w:rsidRPr="00140E8A">
        <w:rPr>
          <w:i/>
          <w:sz w:val="22"/>
          <w:szCs w:val="22"/>
        </w:rPr>
        <w:t>Implementation Order</w:t>
      </w:r>
      <w:r>
        <w:rPr>
          <w:sz w:val="22"/>
          <w:szCs w:val="22"/>
        </w:rPr>
        <w:t>)</w:t>
      </w:r>
      <w:r w:rsidRPr="00501B6A">
        <w:rPr>
          <w:sz w:val="22"/>
          <w:szCs w:val="22"/>
        </w:rPr>
        <w:t>.</w:t>
      </w:r>
      <w:proofErr w:type="gramEnd"/>
    </w:p>
  </w:footnote>
  <w:footnote w:id="5">
    <w:p w:rsidR="00EC57D4" w:rsidRDefault="00EC57D4" w:rsidP="006B5753">
      <w:pPr>
        <w:pStyle w:val="FootnoteText"/>
      </w:pPr>
      <w:r w:rsidRPr="00287546">
        <w:rPr>
          <w:rStyle w:val="FootnoteReference"/>
          <w:sz w:val="22"/>
          <w:szCs w:val="22"/>
        </w:rPr>
        <w:footnoteRef/>
      </w:r>
      <w:r w:rsidRPr="00287546">
        <w:rPr>
          <w:sz w:val="22"/>
          <w:szCs w:val="22"/>
        </w:rPr>
        <w:t xml:space="preserve"> </w:t>
      </w:r>
      <w:r w:rsidRPr="00CB10EC">
        <w:rPr>
          <w:i/>
          <w:sz w:val="22"/>
          <w:szCs w:val="22"/>
        </w:rPr>
        <w:t>Implementation Order</w:t>
      </w:r>
      <w:r w:rsidRPr="00287546">
        <w:rPr>
          <w:sz w:val="22"/>
          <w:szCs w:val="22"/>
        </w:rPr>
        <w:t xml:space="preserve"> at page 13.</w:t>
      </w:r>
    </w:p>
  </w:footnote>
  <w:footnote w:id="6">
    <w:p w:rsidR="00EC57D4" w:rsidRDefault="00EC57D4" w:rsidP="006B5753">
      <w:pPr>
        <w:pStyle w:val="FootnoteText"/>
      </w:pPr>
      <w:r w:rsidRPr="00EC2C0E">
        <w:rPr>
          <w:rStyle w:val="FootnoteReference"/>
          <w:sz w:val="22"/>
          <w:szCs w:val="22"/>
        </w:rPr>
        <w:footnoteRef/>
      </w:r>
      <w:r w:rsidRPr="00EC2C0E">
        <w:rPr>
          <w:sz w:val="22"/>
          <w:szCs w:val="22"/>
        </w:rPr>
        <w:t xml:space="preserve"> </w:t>
      </w:r>
      <w:r w:rsidRPr="00EC2C0E">
        <w:rPr>
          <w:i/>
          <w:sz w:val="22"/>
          <w:szCs w:val="22"/>
        </w:rPr>
        <w:t>See Implementation of the Alternative Energy Portfolio Standards Act of 2004:  Standards for the Participation of Demand Side Management Resources – Technical Reference Manual Update</w:t>
      </w:r>
      <w:r w:rsidRPr="00EC2C0E">
        <w:rPr>
          <w:sz w:val="22"/>
          <w:szCs w:val="22"/>
        </w:rPr>
        <w:t xml:space="preserve"> Order at Docket No. M</w:t>
      </w:r>
      <w:r w:rsidRPr="00EC2C0E">
        <w:rPr>
          <w:sz w:val="22"/>
          <w:szCs w:val="22"/>
        </w:rPr>
        <w:noBreakHyphen/>
        <w:t>00051865, entered June 1, 2009.</w:t>
      </w:r>
    </w:p>
  </w:footnote>
  <w:footnote w:id="7">
    <w:p w:rsidR="00EC57D4" w:rsidRDefault="00EC57D4" w:rsidP="006B5753">
      <w:pPr>
        <w:pStyle w:val="FootnoteText"/>
      </w:pPr>
      <w:r w:rsidRPr="0015424E">
        <w:rPr>
          <w:rStyle w:val="FootnoteReference"/>
          <w:sz w:val="22"/>
          <w:szCs w:val="22"/>
        </w:rPr>
        <w:footnoteRef/>
      </w:r>
      <w:r w:rsidRPr="0015424E">
        <w:rPr>
          <w:sz w:val="22"/>
          <w:szCs w:val="22"/>
        </w:rPr>
        <w:t xml:space="preserve"> </w:t>
      </w:r>
      <w:proofErr w:type="gramStart"/>
      <w:r w:rsidRPr="0015424E">
        <w:rPr>
          <w:i/>
          <w:sz w:val="22"/>
          <w:szCs w:val="22"/>
        </w:rPr>
        <w:t>Id</w:t>
      </w:r>
      <w:r w:rsidRPr="0015424E">
        <w:rPr>
          <w:sz w:val="22"/>
          <w:szCs w:val="22"/>
        </w:rPr>
        <w:t>. at pages 17 and 18.</w:t>
      </w:r>
      <w:proofErr w:type="gramEnd"/>
    </w:p>
  </w:footnote>
  <w:footnote w:id="8">
    <w:p w:rsidR="00EC57D4" w:rsidRDefault="00EC57D4">
      <w:pPr>
        <w:pStyle w:val="FootnoteText"/>
      </w:pPr>
      <w:r w:rsidRPr="003A687D">
        <w:rPr>
          <w:rStyle w:val="FootnoteReference"/>
          <w:sz w:val="22"/>
          <w:szCs w:val="22"/>
        </w:rPr>
        <w:footnoteRef/>
      </w:r>
      <w:r w:rsidRPr="003A687D">
        <w:rPr>
          <w:sz w:val="22"/>
          <w:szCs w:val="22"/>
        </w:rPr>
        <w:t xml:space="preserve"> </w:t>
      </w:r>
      <w:r w:rsidRPr="00EC2C0E">
        <w:rPr>
          <w:i/>
          <w:sz w:val="22"/>
          <w:szCs w:val="22"/>
        </w:rPr>
        <w:t>See Implementation of the Alternative Energy Portfolio Standards Act of 2004:  Standards for the Participation of Demand Side Management Resources – Technical Reference Manual Update</w:t>
      </w:r>
      <w:r w:rsidRPr="00EC2C0E">
        <w:rPr>
          <w:sz w:val="22"/>
          <w:szCs w:val="22"/>
        </w:rPr>
        <w:t xml:space="preserve"> Order at Docket No. M</w:t>
      </w:r>
      <w:r w:rsidRPr="00EC2C0E">
        <w:rPr>
          <w:sz w:val="22"/>
          <w:szCs w:val="22"/>
        </w:rPr>
        <w:noBreakHyphen/>
        <w:t xml:space="preserve">00051865, entered June </w:t>
      </w:r>
      <w:r>
        <w:rPr>
          <w:sz w:val="22"/>
          <w:szCs w:val="22"/>
        </w:rPr>
        <w:t>8</w:t>
      </w:r>
      <w:r w:rsidRPr="00EC2C0E">
        <w:rPr>
          <w:sz w:val="22"/>
          <w:szCs w:val="22"/>
        </w:rPr>
        <w:t>, 20</w:t>
      </w:r>
      <w:r>
        <w:rPr>
          <w:sz w:val="22"/>
          <w:szCs w:val="22"/>
        </w:rPr>
        <w:t>1</w:t>
      </w:r>
      <w:r w:rsidRPr="00EC2C0E">
        <w:rPr>
          <w:sz w:val="22"/>
          <w:szCs w:val="22"/>
        </w:rPr>
        <w:t>0.</w:t>
      </w:r>
    </w:p>
  </w:footnote>
  <w:footnote w:id="9">
    <w:p w:rsidR="00EC57D4" w:rsidRPr="00E60566" w:rsidRDefault="00EC57D4">
      <w:pPr>
        <w:pStyle w:val="FootnoteText"/>
        <w:rPr>
          <w:sz w:val="22"/>
          <w:szCs w:val="22"/>
        </w:rPr>
      </w:pPr>
      <w:r w:rsidRPr="00E60566">
        <w:rPr>
          <w:rStyle w:val="FootnoteReference"/>
          <w:sz w:val="22"/>
          <w:szCs w:val="22"/>
        </w:rPr>
        <w:footnoteRef/>
      </w:r>
      <w:r w:rsidRPr="00E60566">
        <w:rPr>
          <w:sz w:val="22"/>
          <w:szCs w:val="22"/>
        </w:rPr>
        <w:t xml:space="preserve"> </w:t>
      </w:r>
      <w:r w:rsidRPr="00E60566">
        <w:rPr>
          <w:i/>
          <w:sz w:val="22"/>
          <w:szCs w:val="22"/>
        </w:rPr>
        <w:t>See</w:t>
      </w:r>
      <w:r w:rsidRPr="00E60566">
        <w:rPr>
          <w:sz w:val="22"/>
          <w:szCs w:val="22"/>
        </w:rPr>
        <w:t xml:space="preserve"> 66 Pa. C.S. § 2806.1(a</w:t>
      </w:r>
      <w:proofErr w:type="gramStart"/>
      <w:r w:rsidRPr="00E60566">
        <w:rPr>
          <w:sz w:val="22"/>
          <w:szCs w:val="22"/>
        </w:rPr>
        <w:t>)(</w:t>
      </w:r>
      <w:proofErr w:type="gramEnd"/>
      <w:r w:rsidRPr="00E60566">
        <w:rPr>
          <w:sz w:val="22"/>
          <w:szCs w:val="22"/>
        </w:rPr>
        <w:t>2).</w:t>
      </w:r>
    </w:p>
  </w:footnote>
  <w:footnote w:id="10">
    <w:p w:rsidR="00EC57D4" w:rsidRDefault="00EC57D4" w:rsidP="006B5753">
      <w:pPr>
        <w:pStyle w:val="FootnoteText"/>
      </w:pPr>
      <w:r w:rsidRPr="00D470FE">
        <w:rPr>
          <w:rStyle w:val="FootnoteReference"/>
          <w:sz w:val="22"/>
          <w:szCs w:val="22"/>
        </w:rPr>
        <w:footnoteRef/>
      </w:r>
      <w:r w:rsidRPr="00D470FE">
        <w:rPr>
          <w:sz w:val="22"/>
          <w:szCs w:val="22"/>
        </w:rPr>
        <w:t xml:space="preserve"> The TWG is chaired by the SWE and is comprised of representatives </w:t>
      </w:r>
      <w:r>
        <w:rPr>
          <w:sz w:val="22"/>
          <w:szCs w:val="22"/>
        </w:rPr>
        <w:t>from</w:t>
      </w:r>
      <w:r w:rsidRPr="00D470FE">
        <w:rPr>
          <w:sz w:val="22"/>
          <w:szCs w:val="22"/>
        </w:rPr>
        <w:t xml:space="preserve"> the EDCs </w:t>
      </w:r>
      <w:r>
        <w:rPr>
          <w:sz w:val="22"/>
          <w:szCs w:val="22"/>
        </w:rPr>
        <w:t xml:space="preserve">and Commission staff </w:t>
      </w:r>
      <w:r w:rsidRPr="00D470FE">
        <w:rPr>
          <w:sz w:val="22"/>
          <w:szCs w:val="22"/>
        </w:rPr>
        <w:t>for the purpose of encouraging discussion of the technical issues related to the evaluation, measurement and verification of savings programs to be implemented pursuant to Act 129.</w:t>
      </w:r>
    </w:p>
  </w:footnote>
  <w:footnote w:id="11">
    <w:p w:rsidR="00EC57D4" w:rsidRPr="004C19A6" w:rsidRDefault="00EC57D4" w:rsidP="006B5753">
      <w:pPr>
        <w:pStyle w:val="FootnoteText"/>
        <w:rPr>
          <w:sz w:val="22"/>
          <w:szCs w:val="22"/>
        </w:rPr>
      </w:pPr>
      <w:r w:rsidRPr="004C19A6">
        <w:rPr>
          <w:rStyle w:val="FootnoteReference"/>
          <w:sz w:val="22"/>
          <w:szCs w:val="22"/>
        </w:rPr>
        <w:footnoteRef/>
      </w:r>
      <w:r w:rsidRPr="004C19A6">
        <w:rPr>
          <w:sz w:val="22"/>
          <w:szCs w:val="22"/>
        </w:rPr>
        <w:t xml:space="preserve"> See the </w:t>
      </w:r>
      <w:r w:rsidRPr="00E60566">
        <w:rPr>
          <w:i/>
          <w:sz w:val="22"/>
          <w:szCs w:val="22"/>
        </w:rPr>
        <w:t>Tentative Order</w:t>
      </w:r>
      <w:r w:rsidRPr="004C19A6">
        <w:rPr>
          <w:sz w:val="22"/>
          <w:szCs w:val="22"/>
        </w:rPr>
        <w:t xml:space="preserve"> entered on </w:t>
      </w:r>
      <w:r>
        <w:rPr>
          <w:sz w:val="22"/>
          <w:szCs w:val="22"/>
        </w:rPr>
        <w:t>November 24</w:t>
      </w:r>
      <w:r w:rsidRPr="004C19A6">
        <w:rPr>
          <w:sz w:val="22"/>
          <w:szCs w:val="22"/>
        </w:rPr>
        <w:t>, 2010, under the same docket number.</w:t>
      </w:r>
    </w:p>
  </w:footnote>
  <w:footnote w:id="12">
    <w:p w:rsidR="00EC57D4" w:rsidRPr="00C63740" w:rsidRDefault="00EC57D4" w:rsidP="003321DD">
      <w:pPr>
        <w:pStyle w:val="FootnoteText"/>
        <w:rPr>
          <w:sz w:val="22"/>
          <w:szCs w:val="22"/>
        </w:rPr>
      </w:pPr>
      <w:r w:rsidRPr="00C63740">
        <w:rPr>
          <w:rStyle w:val="FootnoteReference"/>
          <w:sz w:val="22"/>
          <w:szCs w:val="22"/>
        </w:rPr>
        <w:footnoteRef/>
      </w:r>
      <w:r w:rsidRPr="00C63740">
        <w:rPr>
          <w:sz w:val="22"/>
          <w:szCs w:val="22"/>
        </w:rPr>
        <w:t xml:space="preserve"> New York Department of Public Service, </w:t>
      </w:r>
      <w:r w:rsidRPr="00C63740">
        <w:rPr>
          <w:i/>
          <w:sz w:val="22"/>
          <w:szCs w:val="22"/>
        </w:rPr>
        <w:t>New York Standard Approach for Estimating Energy Savings from Energy Efficiency Programs</w:t>
      </w:r>
      <w:r w:rsidRPr="00C63740">
        <w:rPr>
          <w:sz w:val="22"/>
          <w:szCs w:val="22"/>
        </w:rPr>
        <w:t xml:space="preserve"> at page 38, prepared for the Department of Public Service by the New York Evaluation Advisory C</w:t>
      </w:r>
      <w:r>
        <w:rPr>
          <w:sz w:val="22"/>
          <w:szCs w:val="22"/>
        </w:rPr>
        <w:t xml:space="preserve">ontactor Team, October 15, 2010, which can be found at </w:t>
      </w:r>
      <w:r w:rsidRPr="00C63740">
        <w:rPr>
          <w:sz w:val="22"/>
          <w:szCs w:val="22"/>
        </w:rPr>
        <w:t>http://www.dps.state.ny.us/NY_Standard_Approach_for_Estimating_Energy_Savings_12-08.pdf</w:t>
      </w:r>
      <w:r>
        <w:rPr>
          <w:sz w:val="22"/>
          <w:szCs w:val="22"/>
        </w:rPr>
        <w:t>.</w:t>
      </w:r>
    </w:p>
  </w:footnote>
  <w:footnote w:id="13">
    <w:p w:rsidR="00EC57D4" w:rsidRPr="00C63740" w:rsidRDefault="00EC57D4">
      <w:pPr>
        <w:pStyle w:val="FootnoteText"/>
        <w:rPr>
          <w:sz w:val="22"/>
          <w:szCs w:val="22"/>
        </w:rPr>
      </w:pPr>
      <w:r w:rsidRPr="00C63740">
        <w:rPr>
          <w:rStyle w:val="FootnoteReference"/>
          <w:sz w:val="22"/>
          <w:szCs w:val="22"/>
        </w:rPr>
        <w:footnoteRef/>
      </w:r>
      <w:r w:rsidRPr="00C63740">
        <w:rPr>
          <w:sz w:val="22"/>
          <w:szCs w:val="22"/>
        </w:rPr>
        <w:t xml:space="preserve"> International Energy Conservation Code 2009 -- </w:t>
      </w:r>
      <w:hyperlink r:id="rId1" w:history="1">
        <w:r w:rsidRPr="00C63740">
          <w:rPr>
            <w:rStyle w:val="Hyperlink"/>
            <w:sz w:val="22"/>
            <w:szCs w:val="22"/>
          </w:rPr>
          <w:t>http://www.energycodes.gov/publications/code_books.stm</w:t>
        </w:r>
      </w:hyperlink>
      <w:r w:rsidRPr="00C63740">
        <w:rPr>
          <w:sz w:val="22"/>
          <w:szCs w:val="22"/>
        </w:rPr>
        <w:t xml:space="preserve"> </w:t>
      </w:r>
    </w:p>
  </w:footnote>
  <w:footnote w:id="14">
    <w:p w:rsidR="00EC57D4" w:rsidRPr="00A44530" w:rsidRDefault="00EC57D4" w:rsidP="004D015A">
      <w:pPr>
        <w:pStyle w:val="FootnoteText"/>
        <w:rPr>
          <w:sz w:val="22"/>
          <w:szCs w:val="22"/>
        </w:rPr>
      </w:pPr>
      <w:r w:rsidRPr="00A44530">
        <w:rPr>
          <w:rStyle w:val="FootnoteReference"/>
          <w:sz w:val="22"/>
          <w:szCs w:val="22"/>
        </w:rPr>
        <w:footnoteRef/>
      </w:r>
      <w:r w:rsidRPr="00A44530">
        <w:rPr>
          <w:sz w:val="22"/>
          <w:szCs w:val="22"/>
        </w:rPr>
        <w:t xml:space="preserve"> Nexus Market Research, </w:t>
      </w:r>
      <w:r w:rsidRPr="00A44530">
        <w:rPr>
          <w:i/>
          <w:sz w:val="22"/>
          <w:szCs w:val="22"/>
        </w:rPr>
        <w:t>Impact Evaluation of the Massachusetts, Rhode Island and Vermont 2003 Residential Lighting Programs, Final Report</w:t>
      </w:r>
      <w:r w:rsidRPr="00A44530">
        <w:rPr>
          <w:sz w:val="22"/>
          <w:szCs w:val="22"/>
        </w:rPr>
        <w:t>, October 1, 2004, p. 43 (Table 4-7)</w:t>
      </w:r>
      <w:r>
        <w:rPr>
          <w:sz w:val="22"/>
          <w:szCs w:val="22"/>
        </w:rPr>
        <w:t xml:space="preserve">. </w:t>
      </w:r>
      <w:hyperlink r:id="rId2" w:history="1">
        <w:r w:rsidRPr="006204A8">
          <w:rPr>
            <w:rStyle w:val="Hyperlink"/>
            <w:sz w:val="22"/>
            <w:szCs w:val="22"/>
          </w:rPr>
          <w:t>http://publicservice.vermont.gov/energy/ee_files/efficiency/eval/marivtreportfinal100104.pdf</w:t>
        </w:r>
      </w:hyperlink>
    </w:p>
  </w:footnote>
  <w:footnote w:id="15">
    <w:p w:rsidR="00EC57D4" w:rsidRPr="0026126E" w:rsidRDefault="00EC57D4" w:rsidP="0026126E">
      <w:pPr>
        <w:pStyle w:val="FootnoteText"/>
        <w:rPr>
          <w:sz w:val="22"/>
          <w:szCs w:val="22"/>
        </w:rPr>
      </w:pPr>
      <w:r w:rsidRPr="0026126E">
        <w:rPr>
          <w:rStyle w:val="FootnoteReference"/>
          <w:sz w:val="22"/>
          <w:szCs w:val="22"/>
        </w:rPr>
        <w:footnoteRef/>
      </w:r>
      <w:r w:rsidRPr="0026126E">
        <w:rPr>
          <w:sz w:val="22"/>
          <w:szCs w:val="22"/>
        </w:rPr>
        <w:t xml:space="preserve"> PY1 is June 1, 2009, through May 31, 2010.</w:t>
      </w:r>
    </w:p>
  </w:footnote>
  <w:footnote w:id="16">
    <w:p w:rsidR="00EC57D4" w:rsidRPr="00CA7724" w:rsidRDefault="00EC57D4">
      <w:pPr>
        <w:pStyle w:val="FootnoteText"/>
        <w:rPr>
          <w:sz w:val="22"/>
          <w:szCs w:val="22"/>
        </w:rPr>
      </w:pPr>
      <w:r w:rsidRPr="00CA7724">
        <w:rPr>
          <w:rStyle w:val="FootnoteReference"/>
          <w:sz w:val="22"/>
          <w:szCs w:val="22"/>
        </w:rPr>
        <w:footnoteRef/>
      </w:r>
      <w:r w:rsidRPr="00CA7724">
        <w:rPr>
          <w:sz w:val="22"/>
          <w:szCs w:val="22"/>
        </w:rPr>
        <w:t xml:space="preserve"> CF refers to Coincidence Factor: the percentage of the total lighting connected load that is on during electric system’s peak window.</w:t>
      </w:r>
    </w:p>
  </w:footnote>
  <w:footnote w:id="17">
    <w:p w:rsidR="00EC57D4" w:rsidRPr="00012DEF" w:rsidRDefault="00EC57D4">
      <w:pPr>
        <w:pStyle w:val="FootnoteText"/>
        <w:rPr>
          <w:sz w:val="22"/>
          <w:szCs w:val="22"/>
        </w:rPr>
      </w:pPr>
      <w:r w:rsidRPr="00012DEF">
        <w:rPr>
          <w:rStyle w:val="FootnoteReference"/>
          <w:sz w:val="22"/>
          <w:szCs w:val="22"/>
        </w:rPr>
        <w:footnoteRef/>
      </w:r>
      <w:r w:rsidRPr="00012DEF">
        <w:rPr>
          <w:sz w:val="22"/>
          <w:szCs w:val="22"/>
        </w:rPr>
        <w:t xml:space="preserve"> </w:t>
      </w:r>
      <w:r w:rsidRPr="00012DEF">
        <w:rPr>
          <w:i/>
          <w:sz w:val="22"/>
          <w:szCs w:val="22"/>
        </w:rPr>
        <w:t>Ex ante</w:t>
      </w:r>
      <w:r w:rsidRPr="00012DEF">
        <w:rPr>
          <w:sz w:val="22"/>
          <w:szCs w:val="22"/>
        </w:rPr>
        <w:t xml:space="preserve"> savings are also known as “claimed savings” and result directly from completed program-related actions taken by participants.  </w:t>
      </w:r>
      <w:r w:rsidRPr="00012DEF">
        <w:rPr>
          <w:i/>
          <w:sz w:val="22"/>
          <w:szCs w:val="22"/>
        </w:rPr>
        <w:t>Ex post</w:t>
      </w:r>
      <w:r w:rsidRPr="00012DEF">
        <w:rPr>
          <w:sz w:val="22"/>
          <w:szCs w:val="22"/>
        </w:rPr>
        <w:t xml:space="preserve"> savings are also known as “verified savings” and are based on an independent assessment of the reliability of the </w:t>
      </w:r>
      <w:r w:rsidRPr="00012DEF">
        <w:rPr>
          <w:i/>
          <w:sz w:val="22"/>
          <w:szCs w:val="22"/>
        </w:rPr>
        <w:t>ex ante</w:t>
      </w:r>
      <w:r w:rsidRPr="00012DEF">
        <w:rPr>
          <w:sz w:val="22"/>
          <w:szCs w:val="22"/>
        </w:rPr>
        <w:t xml:space="preserve"> savings.</w:t>
      </w:r>
    </w:p>
  </w:footnote>
  <w:footnote w:id="18">
    <w:p w:rsidR="00EC57D4" w:rsidRPr="00454327" w:rsidRDefault="00EC57D4">
      <w:pPr>
        <w:pStyle w:val="FootnoteText"/>
        <w:rPr>
          <w:sz w:val="22"/>
          <w:szCs w:val="22"/>
        </w:rPr>
      </w:pPr>
      <w:r w:rsidRPr="00454327">
        <w:rPr>
          <w:rStyle w:val="FootnoteReference"/>
          <w:sz w:val="22"/>
          <w:szCs w:val="22"/>
        </w:rPr>
        <w:footnoteRef/>
      </w:r>
      <w:r w:rsidRPr="00454327">
        <w:rPr>
          <w:sz w:val="22"/>
          <w:szCs w:val="22"/>
        </w:rPr>
        <w:t xml:space="preserve"> PY2 is June 1, 2010, through May 31, 2011.  PY3 is June 1, 2011, through May 31, 2012.  PY4 is June 1, 2012, through May 31, 2013.</w:t>
      </w:r>
    </w:p>
  </w:footnote>
  <w:footnote w:id="19">
    <w:p w:rsidR="00EC57D4" w:rsidRPr="00454327" w:rsidRDefault="00EC57D4">
      <w:pPr>
        <w:pStyle w:val="FootnoteText"/>
        <w:rPr>
          <w:sz w:val="22"/>
          <w:szCs w:val="22"/>
        </w:rPr>
      </w:pPr>
      <w:r w:rsidRPr="00454327">
        <w:rPr>
          <w:rStyle w:val="FootnoteReference"/>
          <w:sz w:val="22"/>
          <w:szCs w:val="22"/>
        </w:rPr>
        <w:footnoteRef/>
      </w:r>
      <w:r w:rsidRPr="00454327">
        <w:rPr>
          <w:sz w:val="22"/>
          <w:szCs w:val="22"/>
        </w:rPr>
        <w:t xml:space="preserve"> EPAct of 1992 can be found at </w:t>
      </w:r>
      <w:hyperlink r:id="rId3" w:history="1">
        <w:r w:rsidRPr="00454327">
          <w:rPr>
            <w:rStyle w:val="Hyperlink"/>
            <w:sz w:val="22"/>
            <w:szCs w:val="22"/>
          </w:rPr>
          <w:t>http://www1.eere.energy.gov/femp/regulations/epact1992.html</w:t>
        </w:r>
      </w:hyperlink>
      <w:r w:rsidRPr="00454327">
        <w:rPr>
          <w:sz w:val="22"/>
          <w:szCs w:val="22"/>
        </w:rPr>
        <w:t>.</w:t>
      </w:r>
    </w:p>
  </w:footnote>
  <w:footnote w:id="20">
    <w:p w:rsidR="00EC57D4" w:rsidRPr="008907D5" w:rsidRDefault="00EC57D4">
      <w:pPr>
        <w:pStyle w:val="FootnoteText"/>
        <w:rPr>
          <w:sz w:val="22"/>
          <w:szCs w:val="22"/>
        </w:rPr>
      </w:pPr>
      <w:r w:rsidRPr="008907D5">
        <w:rPr>
          <w:rStyle w:val="FootnoteReference"/>
          <w:sz w:val="22"/>
          <w:szCs w:val="22"/>
        </w:rPr>
        <w:footnoteRef/>
      </w:r>
      <w:r w:rsidRPr="008907D5">
        <w:rPr>
          <w:sz w:val="22"/>
          <w:szCs w:val="22"/>
        </w:rPr>
        <w:t xml:space="preserve"> The NEMA Premium motor standards can be found at </w:t>
      </w:r>
      <w:hyperlink r:id="rId4" w:history="1">
        <w:r w:rsidRPr="008907D5">
          <w:rPr>
            <w:rStyle w:val="Hyperlink"/>
            <w:sz w:val="22"/>
            <w:szCs w:val="22"/>
          </w:rPr>
          <w:t>http://www.nema.org/gov/energy/efficiency/premium/</w:t>
        </w:r>
      </w:hyperlink>
      <w:r w:rsidRPr="008907D5">
        <w:rPr>
          <w:sz w:val="22"/>
          <w:szCs w:val="22"/>
        </w:rPr>
        <w:t>.</w:t>
      </w:r>
    </w:p>
  </w:footnote>
  <w:footnote w:id="21">
    <w:p w:rsidR="00EC57D4" w:rsidRPr="005E5AEE" w:rsidRDefault="00EC57D4" w:rsidP="00723DA2">
      <w:pPr>
        <w:pStyle w:val="FootnoteText"/>
        <w:rPr>
          <w:sz w:val="22"/>
          <w:szCs w:val="22"/>
        </w:rPr>
      </w:pPr>
      <w:r w:rsidRPr="005E5AEE">
        <w:rPr>
          <w:rStyle w:val="FootnoteReference"/>
          <w:sz w:val="22"/>
          <w:szCs w:val="22"/>
        </w:rPr>
        <w:footnoteRef/>
      </w:r>
      <w:r w:rsidRPr="005E5AEE">
        <w:rPr>
          <w:sz w:val="22"/>
          <w:szCs w:val="22"/>
        </w:rPr>
        <w:t xml:space="preserve"> Some reports reference an equation from a paper titled </w:t>
      </w:r>
      <w:r w:rsidRPr="005E5AEE">
        <w:rPr>
          <w:i/>
          <w:sz w:val="22"/>
          <w:szCs w:val="22"/>
        </w:rPr>
        <w:t>A Component-Based Model for Residential Air Conditioner and Heat Pump Energy Calculation</w:t>
      </w:r>
      <w:r w:rsidRPr="005E5AEE">
        <w:rPr>
          <w:sz w:val="22"/>
          <w:szCs w:val="22"/>
        </w:rPr>
        <w:t xml:space="preserve"> (</w:t>
      </w:r>
      <w:proofErr w:type="spellStart"/>
      <w:r w:rsidRPr="005E5AEE">
        <w:rPr>
          <w:sz w:val="22"/>
          <w:szCs w:val="22"/>
        </w:rPr>
        <w:t>Wassmer</w:t>
      </w:r>
      <w:proofErr w:type="spellEnd"/>
      <w:r w:rsidRPr="005E5AEE">
        <w:rPr>
          <w:sz w:val="22"/>
          <w:szCs w:val="22"/>
        </w:rPr>
        <w:t xml:space="preserve"> 2003) as an acceptable approximation of the conversion factor between SEER and EER. The Commission recommends that the TWG review the applicability of this equation to commercial equipment as needed and provide recommendations.</w:t>
      </w:r>
    </w:p>
  </w:footnote>
  <w:footnote w:id="22">
    <w:p w:rsidR="00EC57D4" w:rsidRPr="00CC45A0" w:rsidRDefault="00EC57D4" w:rsidP="00AF2434">
      <w:pPr>
        <w:pStyle w:val="FootnoteText"/>
        <w:rPr>
          <w:sz w:val="22"/>
          <w:szCs w:val="22"/>
        </w:rPr>
      </w:pPr>
      <w:r w:rsidRPr="00CC45A0">
        <w:rPr>
          <w:rStyle w:val="FootnoteReference"/>
          <w:sz w:val="22"/>
          <w:szCs w:val="22"/>
        </w:rPr>
        <w:footnoteRef/>
      </w:r>
      <w:r w:rsidRPr="00CC45A0">
        <w:rPr>
          <w:sz w:val="22"/>
          <w:szCs w:val="22"/>
        </w:rPr>
        <w:t xml:space="preserve"> The IESNA standards were developed in conjunction with the American National Standards Institute (“ANSI”) and the American Society of Heat, Refrigerating and Air-Conditioning Engineers in 2007.</w:t>
      </w:r>
    </w:p>
  </w:footnote>
  <w:footnote w:id="23">
    <w:p w:rsidR="00EC57D4" w:rsidRPr="004275F7" w:rsidRDefault="00EC57D4" w:rsidP="00F04ADC">
      <w:pPr>
        <w:pStyle w:val="FootnoteText"/>
        <w:rPr>
          <w:sz w:val="22"/>
          <w:szCs w:val="22"/>
        </w:rPr>
      </w:pPr>
      <w:r w:rsidRPr="004275F7">
        <w:rPr>
          <w:rStyle w:val="FootnoteReference"/>
          <w:sz w:val="22"/>
          <w:szCs w:val="22"/>
        </w:rPr>
        <w:footnoteRef/>
      </w:r>
      <w:r w:rsidRPr="004275F7">
        <w:rPr>
          <w:sz w:val="22"/>
          <w:szCs w:val="22"/>
        </w:rPr>
        <w:t xml:space="preserve"> </w:t>
      </w:r>
      <w:r w:rsidRPr="00AC684B">
        <w:rPr>
          <w:i/>
          <w:sz w:val="22"/>
          <w:szCs w:val="22"/>
        </w:rPr>
        <w:t>See</w:t>
      </w:r>
      <w:r w:rsidRPr="004275F7">
        <w:rPr>
          <w:sz w:val="22"/>
          <w:szCs w:val="22"/>
        </w:rPr>
        <w:t xml:space="preserve"> 42 U</w:t>
      </w:r>
      <w:r>
        <w:rPr>
          <w:sz w:val="22"/>
          <w:szCs w:val="22"/>
        </w:rPr>
        <w:t>.</w:t>
      </w:r>
      <w:r w:rsidRPr="004275F7">
        <w:rPr>
          <w:sz w:val="22"/>
          <w:szCs w:val="22"/>
        </w:rPr>
        <w:t>S</w:t>
      </w:r>
      <w:r>
        <w:rPr>
          <w:sz w:val="22"/>
          <w:szCs w:val="22"/>
        </w:rPr>
        <w:t>.</w:t>
      </w:r>
      <w:r w:rsidRPr="004275F7">
        <w:rPr>
          <w:sz w:val="22"/>
          <w:szCs w:val="22"/>
        </w:rPr>
        <w:t>C</w:t>
      </w:r>
      <w:r>
        <w:rPr>
          <w:sz w:val="22"/>
          <w:szCs w:val="22"/>
        </w:rPr>
        <w:t>.</w:t>
      </w:r>
      <w:r w:rsidRPr="004275F7">
        <w:rPr>
          <w:sz w:val="22"/>
          <w:szCs w:val="22"/>
        </w:rPr>
        <w:t xml:space="preserve"> § </w:t>
      </w:r>
      <w:r>
        <w:rPr>
          <w:sz w:val="22"/>
          <w:szCs w:val="22"/>
        </w:rPr>
        <w:t>6295(g</w:t>
      </w:r>
      <w:proofErr w:type="gramStart"/>
      <w:r>
        <w:rPr>
          <w:sz w:val="22"/>
          <w:szCs w:val="22"/>
        </w:rPr>
        <w:t>)(</w:t>
      </w:r>
      <w:proofErr w:type="gramEnd"/>
      <w:r>
        <w:rPr>
          <w:sz w:val="22"/>
          <w:szCs w:val="22"/>
        </w:rPr>
        <w:t>8).</w:t>
      </w:r>
    </w:p>
  </w:footnote>
  <w:footnote w:id="24">
    <w:p w:rsidR="00EC57D4" w:rsidRPr="00AC684B" w:rsidRDefault="00EC57D4" w:rsidP="00F04ADC">
      <w:pPr>
        <w:pStyle w:val="FootnoteText"/>
        <w:rPr>
          <w:sz w:val="22"/>
          <w:szCs w:val="22"/>
        </w:rPr>
      </w:pPr>
      <w:r w:rsidRPr="00AC684B">
        <w:rPr>
          <w:rStyle w:val="FootnoteReference"/>
          <w:sz w:val="22"/>
          <w:szCs w:val="22"/>
        </w:rPr>
        <w:footnoteRef/>
      </w:r>
      <w:r w:rsidRPr="00AC684B">
        <w:rPr>
          <w:sz w:val="22"/>
          <w:szCs w:val="22"/>
        </w:rPr>
        <w:t xml:space="preserve"> </w:t>
      </w:r>
      <w:r w:rsidRPr="00AC684B">
        <w:rPr>
          <w:i/>
          <w:sz w:val="22"/>
          <w:szCs w:val="22"/>
        </w:rPr>
        <w:t>See</w:t>
      </w:r>
      <w:r w:rsidRPr="00AC684B">
        <w:rPr>
          <w:sz w:val="22"/>
          <w:szCs w:val="22"/>
        </w:rPr>
        <w:t xml:space="preserve"> 10 CFR </w:t>
      </w:r>
      <w:proofErr w:type="gramStart"/>
      <w:r w:rsidRPr="00AC684B">
        <w:rPr>
          <w:sz w:val="22"/>
          <w:szCs w:val="22"/>
        </w:rPr>
        <w:t>Part</w:t>
      </w:r>
      <w:proofErr w:type="gramEnd"/>
      <w:r w:rsidRPr="00AC684B">
        <w:rPr>
          <w:sz w:val="22"/>
          <w:szCs w:val="22"/>
        </w:rPr>
        <w:t xml:space="preserve"> 430</w:t>
      </w:r>
      <w:r>
        <w:rPr>
          <w:sz w:val="22"/>
          <w:szCs w:val="22"/>
        </w:rPr>
        <w:t>.</w:t>
      </w:r>
    </w:p>
  </w:footnote>
  <w:footnote w:id="25">
    <w:p w:rsidR="00EC57D4" w:rsidRPr="00B94CEC" w:rsidRDefault="00EC57D4">
      <w:pPr>
        <w:pStyle w:val="FootnoteText"/>
        <w:rPr>
          <w:sz w:val="22"/>
          <w:szCs w:val="22"/>
        </w:rPr>
      </w:pPr>
      <w:r w:rsidRPr="00B94CEC">
        <w:rPr>
          <w:rStyle w:val="FootnoteReference"/>
          <w:sz w:val="22"/>
          <w:szCs w:val="22"/>
        </w:rPr>
        <w:footnoteRef/>
      </w:r>
      <w:r w:rsidRPr="00B94CEC">
        <w:rPr>
          <w:sz w:val="22"/>
          <w:szCs w:val="22"/>
        </w:rPr>
        <w:t xml:space="preserve"> Secretarial Letter </w:t>
      </w:r>
      <w:r>
        <w:rPr>
          <w:sz w:val="22"/>
          <w:szCs w:val="22"/>
        </w:rPr>
        <w:t>issued under</w:t>
      </w:r>
      <w:r w:rsidRPr="00B94CEC">
        <w:rPr>
          <w:sz w:val="22"/>
          <w:szCs w:val="22"/>
        </w:rPr>
        <w:t xml:space="preserve"> Docket </w:t>
      </w:r>
      <w:r>
        <w:rPr>
          <w:sz w:val="22"/>
          <w:szCs w:val="22"/>
        </w:rPr>
        <w:t>No.</w:t>
      </w:r>
      <w:r w:rsidRPr="00B94CEC">
        <w:rPr>
          <w:sz w:val="22"/>
          <w:szCs w:val="22"/>
        </w:rPr>
        <w:t xml:space="preserve"> </w:t>
      </w:r>
      <w:proofErr w:type="gramStart"/>
      <w:r w:rsidRPr="00B94CEC">
        <w:rPr>
          <w:sz w:val="22"/>
          <w:szCs w:val="22"/>
        </w:rPr>
        <w:t>M-2008-2069887.</w:t>
      </w:r>
      <w:proofErr w:type="gramEnd"/>
    </w:p>
  </w:footnote>
  <w:footnote w:id="26">
    <w:p w:rsidR="00EC57D4" w:rsidRPr="00B94CEC" w:rsidRDefault="00EC57D4">
      <w:pPr>
        <w:pStyle w:val="FootnoteText"/>
        <w:rPr>
          <w:sz w:val="22"/>
          <w:szCs w:val="22"/>
        </w:rPr>
      </w:pPr>
      <w:r w:rsidRPr="00B94CEC">
        <w:rPr>
          <w:rStyle w:val="FootnoteReference"/>
          <w:sz w:val="22"/>
          <w:szCs w:val="22"/>
        </w:rPr>
        <w:footnoteRef/>
      </w:r>
      <w:r w:rsidRPr="00B94CEC">
        <w:rPr>
          <w:sz w:val="22"/>
          <w:szCs w:val="22"/>
        </w:rPr>
        <w:t xml:space="preserve"> EDCs may use different protocols for different participants so long as the </w:t>
      </w:r>
      <w:proofErr w:type="gramStart"/>
      <w:r w:rsidRPr="00B94CEC">
        <w:rPr>
          <w:sz w:val="22"/>
          <w:szCs w:val="22"/>
        </w:rPr>
        <w:t xml:space="preserve">use of such protocols </w:t>
      </w:r>
      <w:r>
        <w:rPr>
          <w:sz w:val="22"/>
          <w:szCs w:val="22"/>
        </w:rPr>
        <w:t>are</w:t>
      </w:r>
      <w:proofErr w:type="gramEnd"/>
      <w:r w:rsidRPr="00B94CEC">
        <w:rPr>
          <w:sz w:val="22"/>
          <w:szCs w:val="22"/>
        </w:rPr>
        <w:t xml:space="preserve"> permitted under PJM business rules as set forth in PJM Manual 19 found at </w:t>
      </w:r>
      <w:hyperlink r:id="rId5" w:history="1">
        <w:r w:rsidRPr="00B94CEC">
          <w:rPr>
            <w:rStyle w:val="Hyperlink"/>
            <w:sz w:val="22"/>
            <w:szCs w:val="22"/>
          </w:rPr>
          <w:t>http://ftp.pjm.com/~/media/documents/manuals/m19.ashx</w:t>
        </w:r>
      </w:hyperlink>
      <w:r w:rsidRPr="00B94CEC">
        <w:rPr>
          <w:sz w:val="22"/>
          <w:szCs w:val="22"/>
        </w:rPr>
        <w:t xml:space="preserve">. </w:t>
      </w:r>
    </w:p>
  </w:footnote>
  <w:footnote w:id="27">
    <w:p w:rsidR="00EC57D4" w:rsidRPr="008625B4" w:rsidRDefault="00EC57D4">
      <w:pPr>
        <w:pStyle w:val="FootnoteText"/>
        <w:rPr>
          <w:sz w:val="22"/>
          <w:szCs w:val="22"/>
        </w:rPr>
      </w:pPr>
      <w:r w:rsidRPr="008625B4">
        <w:rPr>
          <w:rStyle w:val="FootnoteReference"/>
          <w:sz w:val="22"/>
          <w:szCs w:val="22"/>
        </w:rPr>
        <w:footnoteRef/>
      </w:r>
      <w:r w:rsidRPr="008625B4">
        <w:rPr>
          <w:sz w:val="22"/>
          <w:szCs w:val="22"/>
        </w:rPr>
        <w:t xml:space="preserve"> The DOE ENERGY STAR calculator can be found at </w:t>
      </w:r>
      <w:hyperlink r:id="rId6" w:history="1">
        <w:r w:rsidRPr="008625B4">
          <w:rPr>
            <w:rStyle w:val="Hyperlink"/>
            <w:sz w:val="22"/>
            <w:szCs w:val="22"/>
          </w:rPr>
          <w:t>http://www.energystar.gov/index.cfm?fuseaction=find_a_product.showProductGroup&amp;pgw_code=LB</w:t>
        </w:r>
      </w:hyperlink>
      <w:r w:rsidRPr="008625B4">
        <w:rPr>
          <w:sz w:val="22"/>
          <w:szCs w:val="22"/>
        </w:rPr>
        <w:t xml:space="preserve">. </w:t>
      </w:r>
    </w:p>
  </w:footnote>
  <w:footnote w:id="28">
    <w:p w:rsidR="00EC57D4" w:rsidRPr="00063FAE" w:rsidRDefault="00EC57D4" w:rsidP="00EA214B">
      <w:pPr>
        <w:pStyle w:val="FootnoteText"/>
        <w:rPr>
          <w:sz w:val="22"/>
          <w:szCs w:val="22"/>
        </w:rPr>
      </w:pPr>
      <w:r w:rsidRPr="00063FAE">
        <w:rPr>
          <w:rStyle w:val="FootnoteReference"/>
          <w:sz w:val="22"/>
          <w:szCs w:val="22"/>
        </w:rPr>
        <w:footnoteRef/>
      </w:r>
      <w:r w:rsidRPr="00063FAE">
        <w:rPr>
          <w:sz w:val="22"/>
          <w:szCs w:val="22"/>
        </w:rPr>
        <w:t xml:space="preserve"> The Energy Star calculator can be found at </w:t>
      </w:r>
      <w:hyperlink r:id="rId7" w:history="1">
        <w:r w:rsidRPr="00063FAE">
          <w:rPr>
            <w:rStyle w:val="Hyperlink"/>
            <w:sz w:val="22"/>
            <w:szCs w:val="22"/>
          </w:rPr>
          <w:t>http://www.energystar.gov/index.cfm?fuseaction=refrig.calculator</w:t>
        </w:r>
      </w:hyperlink>
      <w:r>
        <w:rPr>
          <w:sz w:val="22"/>
          <w:szCs w:val="22"/>
        </w:rPr>
        <w:t>.</w:t>
      </w:r>
    </w:p>
  </w:footnote>
  <w:footnote w:id="29">
    <w:p w:rsidR="00EC57D4" w:rsidRPr="00063FAE" w:rsidRDefault="00EC57D4" w:rsidP="00EA214B">
      <w:pPr>
        <w:pStyle w:val="FootnoteText"/>
        <w:rPr>
          <w:rStyle w:val="Hyperlink"/>
          <w:sz w:val="22"/>
          <w:szCs w:val="22"/>
        </w:rPr>
      </w:pPr>
      <w:r w:rsidRPr="00063FAE">
        <w:rPr>
          <w:rStyle w:val="FootnoteReference"/>
          <w:sz w:val="22"/>
          <w:szCs w:val="22"/>
        </w:rPr>
        <w:footnoteRef/>
      </w:r>
      <w:r w:rsidRPr="00063FAE">
        <w:rPr>
          <w:sz w:val="22"/>
          <w:szCs w:val="22"/>
        </w:rPr>
        <w:t xml:space="preserve"> </w:t>
      </w:r>
      <w:r>
        <w:rPr>
          <w:sz w:val="22"/>
          <w:szCs w:val="22"/>
        </w:rPr>
        <w:t xml:space="preserve">The database can be found at </w:t>
      </w:r>
      <w:hyperlink r:id="rId8" w:history="1">
        <w:r w:rsidRPr="00063FAE">
          <w:rPr>
            <w:rStyle w:val="Hyperlink"/>
            <w:sz w:val="22"/>
            <w:szCs w:val="22"/>
          </w:rPr>
          <w:t>http://www.energy.ca.gov/appliances/database/historical_excel_files/2009-03-01_excel_based_files/Refrigeration</w:t>
        </w:r>
      </w:hyperlink>
      <w:r>
        <w:rPr>
          <w:sz w:val="22"/>
          <w:szCs w:val="22"/>
        </w:rPr>
        <w:t>.</w:t>
      </w:r>
    </w:p>
    <w:p w:rsidR="00EC57D4" w:rsidRDefault="00EC57D4" w:rsidP="00EA214B">
      <w:pPr>
        <w:pStyle w:val="FootnoteText"/>
      </w:pPr>
    </w:p>
    <w:p w:rsidR="00EC57D4" w:rsidRDefault="00EC57D4" w:rsidP="00EA214B">
      <w:pPr>
        <w:pStyle w:val="FootnoteText"/>
      </w:pPr>
    </w:p>
  </w:footnote>
  <w:footnote w:id="30">
    <w:p w:rsidR="00EC57D4" w:rsidRPr="00FE566C" w:rsidRDefault="00EC57D4">
      <w:pPr>
        <w:pStyle w:val="FootnoteText"/>
        <w:rPr>
          <w:sz w:val="22"/>
          <w:szCs w:val="22"/>
        </w:rPr>
      </w:pPr>
      <w:r w:rsidRPr="00FE566C">
        <w:rPr>
          <w:rStyle w:val="FootnoteReference"/>
          <w:sz w:val="22"/>
          <w:szCs w:val="22"/>
        </w:rPr>
        <w:footnoteRef/>
      </w:r>
      <w:r w:rsidRPr="00FE566C">
        <w:rPr>
          <w:sz w:val="22"/>
          <w:szCs w:val="22"/>
        </w:rPr>
        <w:t xml:space="preserve"> </w:t>
      </w:r>
      <w:proofErr w:type="gramStart"/>
      <w:r w:rsidRPr="00FE566C">
        <w:rPr>
          <w:i/>
          <w:sz w:val="22"/>
          <w:szCs w:val="22"/>
        </w:rPr>
        <w:t>Tentative Order</w:t>
      </w:r>
      <w:r w:rsidRPr="00FE566C">
        <w:rPr>
          <w:sz w:val="22"/>
          <w:szCs w:val="22"/>
        </w:rPr>
        <w:t xml:space="preserve"> (entered on November 24, 2010) at 11.</w:t>
      </w:r>
      <w:proofErr w:type="gramEnd"/>
    </w:p>
  </w:footnote>
  <w:footnote w:id="31">
    <w:p w:rsidR="00EC57D4" w:rsidRPr="001138BE" w:rsidRDefault="00EC57D4">
      <w:pPr>
        <w:pStyle w:val="FootnoteText"/>
        <w:rPr>
          <w:sz w:val="22"/>
          <w:szCs w:val="22"/>
        </w:rPr>
      </w:pPr>
      <w:r w:rsidRPr="001138BE">
        <w:rPr>
          <w:rStyle w:val="FootnoteReference"/>
          <w:sz w:val="22"/>
          <w:szCs w:val="22"/>
        </w:rPr>
        <w:footnoteRef/>
      </w:r>
      <w:r w:rsidRPr="001138BE">
        <w:rPr>
          <w:sz w:val="22"/>
          <w:szCs w:val="22"/>
        </w:rPr>
        <w:t xml:space="preserve"> </w:t>
      </w:r>
      <w:r w:rsidRPr="001138BE">
        <w:rPr>
          <w:i/>
          <w:sz w:val="22"/>
          <w:szCs w:val="22"/>
        </w:rPr>
        <w:t>See</w:t>
      </w:r>
      <w:r w:rsidRPr="001138BE">
        <w:rPr>
          <w:sz w:val="22"/>
          <w:szCs w:val="22"/>
        </w:rPr>
        <w:t xml:space="preserve"> 66 Pa. C.S. § 2806.1(a</w:t>
      </w:r>
      <w:proofErr w:type="gramStart"/>
      <w:r w:rsidRPr="001138BE">
        <w:rPr>
          <w:sz w:val="22"/>
          <w:szCs w:val="22"/>
        </w:rPr>
        <w:t>)(</w:t>
      </w:r>
      <w:proofErr w:type="gramEnd"/>
      <w:r w:rsidRPr="001138BE">
        <w:rPr>
          <w:sz w:val="22"/>
          <w:szCs w:val="22"/>
        </w:rPr>
        <w:t>2).</w:t>
      </w:r>
    </w:p>
  </w:footnote>
  <w:footnote w:id="32">
    <w:p w:rsidR="00EC57D4" w:rsidRDefault="00EC57D4">
      <w:pPr>
        <w:pStyle w:val="FootnoteText"/>
      </w:pPr>
      <w:r w:rsidRPr="00B34AC5">
        <w:rPr>
          <w:rStyle w:val="FootnoteReference"/>
          <w:sz w:val="22"/>
          <w:szCs w:val="22"/>
        </w:rPr>
        <w:footnoteRef/>
      </w:r>
      <w:r w:rsidRPr="00B34AC5">
        <w:rPr>
          <w:sz w:val="22"/>
          <w:szCs w:val="22"/>
        </w:rPr>
        <w:t xml:space="preserve"> </w:t>
      </w:r>
      <w:r w:rsidRPr="00B34AC5">
        <w:rPr>
          <w:i/>
          <w:sz w:val="22"/>
          <w:szCs w:val="22"/>
        </w:rPr>
        <w:t>See</w:t>
      </w:r>
      <w:r w:rsidRPr="001138BE">
        <w:rPr>
          <w:sz w:val="22"/>
          <w:szCs w:val="22"/>
        </w:rPr>
        <w:t xml:space="preserve"> 66 Pa. C.S. § 2806.1(</w:t>
      </w:r>
      <w:proofErr w:type="spellStart"/>
      <w:r>
        <w:rPr>
          <w:sz w:val="22"/>
          <w:szCs w:val="22"/>
        </w:rPr>
        <w:t>i</w:t>
      </w:r>
      <w:proofErr w:type="spellEnd"/>
      <w:proofErr w:type="gramStart"/>
      <w:r w:rsidRPr="001138BE">
        <w:rPr>
          <w:sz w:val="22"/>
          <w:szCs w:val="22"/>
        </w:rPr>
        <w:t>)(</w:t>
      </w:r>
      <w:proofErr w:type="gramEnd"/>
      <w:r>
        <w:rPr>
          <w:sz w:val="22"/>
          <w:szCs w:val="22"/>
        </w:rPr>
        <w:t>1</w:t>
      </w:r>
      <w:r w:rsidRPr="001138BE">
        <w:rPr>
          <w:sz w:val="22"/>
          <w:szCs w:val="22"/>
        </w:rPr>
        <w:t>).</w:t>
      </w:r>
    </w:p>
  </w:footnote>
  <w:footnote w:id="33">
    <w:p w:rsidR="00EC57D4" w:rsidRPr="00475F9F" w:rsidRDefault="00EC57D4">
      <w:pPr>
        <w:pStyle w:val="FootnoteText"/>
        <w:rPr>
          <w:sz w:val="22"/>
          <w:szCs w:val="22"/>
        </w:rPr>
      </w:pPr>
      <w:r w:rsidRPr="00475F9F">
        <w:rPr>
          <w:rStyle w:val="FootnoteReference"/>
          <w:sz w:val="22"/>
          <w:szCs w:val="22"/>
        </w:rPr>
        <w:footnoteRef/>
      </w:r>
      <w:r w:rsidRPr="00475F9F">
        <w:rPr>
          <w:sz w:val="22"/>
          <w:szCs w:val="22"/>
        </w:rPr>
        <w:t xml:space="preserve"> </w:t>
      </w:r>
      <w:proofErr w:type="gramStart"/>
      <w:r w:rsidRPr="00475F9F">
        <w:rPr>
          <w:i/>
          <w:sz w:val="22"/>
          <w:szCs w:val="22"/>
        </w:rPr>
        <w:t>Implementation Order</w:t>
      </w:r>
      <w:r w:rsidRPr="00475F9F">
        <w:rPr>
          <w:sz w:val="22"/>
          <w:szCs w:val="22"/>
        </w:rPr>
        <w:t xml:space="preserve"> at 13</w:t>
      </w:r>
      <w:r>
        <w:rPr>
          <w:sz w:val="22"/>
          <w:szCs w:val="22"/>
        </w:rPr>
        <w:t xml:space="preserve"> and 14</w:t>
      </w:r>
      <w:r w:rsidRPr="00475F9F">
        <w:rPr>
          <w:sz w:val="22"/>
          <w:szCs w:val="22"/>
        </w:rPr>
        <w:t>.</w:t>
      </w:r>
      <w:proofErr w:type="gramEnd"/>
    </w:p>
  </w:footnote>
  <w:footnote w:id="34">
    <w:p w:rsidR="00EC57D4" w:rsidRPr="002B6855" w:rsidRDefault="00EC57D4">
      <w:pPr>
        <w:pStyle w:val="FootnoteText"/>
        <w:rPr>
          <w:sz w:val="22"/>
          <w:szCs w:val="22"/>
        </w:rPr>
      </w:pPr>
      <w:r w:rsidRPr="002B6855">
        <w:rPr>
          <w:rStyle w:val="FootnoteReference"/>
          <w:sz w:val="22"/>
          <w:szCs w:val="22"/>
        </w:rPr>
        <w:footnoteRef/>
      </w:r>
      <w:r w:rsidRPr="002B6855">
        <w:rPr>
          <w:sz w:val="22"/>
          <w:szCs w:val="22"/>
        </w:rPr>
        <w:t xml:space="preserve"> Verify is defined as “[t]o prove to be true; to confirm or establish the truth or truthfulness of; to authenticate</w:t>
      </w:r>
      <w:r>
        <w:rPr>
          <w:sz w:val="22"/>
          <w:szCs w:val="22"/>
        </w:rPr>
        <w:t>.</w:t>
      </w:r>
      <w:r w:rsidRPr="002B6855">
        <w:rPr>
          <w:sz w:val="22"/>
          <w:szCs w:val="22"/>
        </w:rPr>
        <w:t>”  B</w:t>
      </w:r>
      <w:r w:rsidRPr="00BF2AAA">
        <w:rPr>
          <w:sz w:val="16"/>
          <w:szCs w:val="16"/>
        </w:rPr>
        <w:t>LACK’S</w:t>
      </w:r>
      <w:r w:rsidRPr="002B6855">
        <w:rPr>
          <w:sz w:val="22"/>
          <w:szCs w:val="22"/>
        </w:rPr>
        <w:t xml:space="preserve"> L</w:t>
      </w:r>
      <w:r w:rsidRPr="00BF2AAA">
        <w:rPr>
          <w:sz w:val="16"/>
          <w:szCs w:val="16"/>
        </w:rPr>
        <w:t>AW</w:t>
      </w:r>
      <w:r w:rsidRPr="002B6855">
        <w:rPr>
          <w:sz w:val="22"/>
          <w:szCs w:val="22"/>
        </w:rPr>
        <w:t xml:space="preserve"> D</w:t>
      </w:r>
      <w:r w:rsidRPr="00BF2AAA">
        <w:rPr>
          <w:sz w:val="16"/>
          <w:szCs w:val="16"/>
        </w:rPr>
        <w:t>ICTIONARY</w:t>
      </w:r>
      <w:r w:rsidRPr="002B6855">
        <w:rPr>
          <w:sz w:val="22"/>
          <w:szCs w:val="22"/>
        </w:rPr>
        <w:t xml:space="preserve"> 1556 (7</w:t>
      </w:r>
      <w:r w:rsidRPr="002B6855">
        <w:rPr>
          <w:sz w:val="22"/>
          <w:szCs w:val="22"/>
          <w:vertAlign w:val="superscript"/>
        </w:rPr>
        <w:t xml:space="preserve">th </w:t>
      </w:r>
      <w:r w:rsidRPr="002B6855">
        <w:rPr>
          <w:sz w:val="22"/>
          <w:szCs w:val="22"/>
        </w:rPr>
        <w:t>ed. 1999).</w:t>
      </w:r>
    </w:p>
  </w:footnote>
  <w:footnote w:id="35">
    <w:p w:rsidR="00EC57D4" w:rsidRDefault="00EC57D4">
      <w:pPr>
        <w:pStyle w:val="FootnoteText"/>
      </w:pPr>
      <w:r w:rsidRPr="009E34A8">
        <w:rPr>
          <w:rStyle w:val="FootnoteReference"/>
          <w:sz w:val="22"/>
          <w:szCs w:val="22"/>
        </w:rPr>
        <w:footnoteRef/>
      </w:r>
      <w:r w:rsidRPr="009E34A8">
        <w:rPr>
          <w:sz w:val="22"/>
          <w:szCs w:val="22"/>
        </w:rPr>
        <w:t xml:space="preserve"> </w:t>
      </w:r>
      <w:r w:rsidRPr="001138BE">
        <w:rPr>
          <w:i/>
          <w:sz w:val="22"/>
          <w:szCs w:val="22"/>
        </w:rPr>
        <w:t>See</w:t>
      </w:r>
      <w:r w:rsidRPr="001138BE">
        <w:rPr>
          <w:sz w:val="22"/>
          <w:szCs w:val="22"/>
        </w:rPr>
        <w:t xml:space="preserve"> 66 Pa. C.S. § 2806.1(a</w:t>
      </w:r>
      <w:proofErr w:type="gramStart"/>
      <w:r w:rsidRPr="001138BE">
        <w:rPr>
          <w:sz w:val="22"/>
          <w:szCs w:val="22"/>
        </w:rPr>
        <w:t>)</w:t>
      </w:r>
      <w:r>
        <w:rPr>
          <w:sz w:val="22"/>
          <w:szCs w:val="22"/>
        </w:rPr>
        <w:t>(</w:t>
      </w:r>
      <w:proofErr w:type="gramEnd"/>
      <w:r>
        <w:rPr>
          <w:sz w:val="22"/>
          <w:szCs w:val="22"/>
        </w:rPr>
        <w:t>9)</w:t>
      </w:r>
      <w:r w:rsidRPr="001138BE">
        <w:rPr>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654"/>
    <w:multiLevelType w:val="hybridMultilevel"/>
    <w:tmpl w:val="36D055AC"/>
    <w:lvl w:ilvl="0" w:tplc="F1CE03A6">
      <w:start w:val="1"/>
      <w:numFmt w:val="decimal"/>
      <w:lvlText w:val="%1."/>
      <w:lvlJc w:val="left"/>
      <w:pPr>
        <w:ind w:left="720" w:hanging="360"/>
      </w:pPr>
      <w:rPr>
        <w:rFonts w:hint="default"/>
      </w:rPr>
    </w:lvl>
    <w:lvl w:ilvl="1" w:tplc="17E27DF4">
      <w:start w:val="1"/>
      <w:numFmt w:val="lowerLetter"/>
      <w:lvlText w:val="%2."/>
      <w:lvlJc w:val="left"/>
      <w:pPr>
        <w:ind w:left="1440" w:hanging="360"/>
      </w:pPr>
      <w:rPr>
        <w:b/>
      </w:rPr>
    </w:lvl>
    <w:lvl w:ilvl="2" w:tplc="9C3A0C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27E0A"/>
    <w:multiLevelType w:val="hybridMultilevel"/>
    <w:tmpl w:val="409E3EA0"/>
    <w:lvl w:ilvl="0" w:tplc="6FFEBD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0745A7"/>
    <w:multiLevelType w:val="hybridMultilevel"/>
    <w:tmpl w:val="C390ECD6"/>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5A6260"/>
    <w:multiLevelType w:val="hybridMultilevel"/>
    <w:tmpl w:val="C15684B2"/>
    <w:lvl w:ilvl="0" w:tplc="04090019">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20A1D"/>
    <w:multiLevelType w:val="hybridMultilevel"/>
    <w:tmpl w:val="C2D876FE"/>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A332F8"/>
    <w:multiLevelType w:val="hybridMultilevel"/>
    <w:tmpl w:val="95046142"/>
    <w:lvl w:ilvl="0" w:tplc="04090019">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30404"/>
    <w:multiLevelType w:val="hybridMultilevel"/>
    <w:tmpl w:val="89E6CE4C"/>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F44FE"/>
    <w:multiLevelType w:val="hybridMultilevel"/>
    <w:tmpl w:val="4A308972"/>
    <w:lvl w:ilvl="0" w:tplc="CA526488">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B26E3"/>
    <w:multiLevelType w:val="hybridMultilevel"/>
    <w:tmpl w:val="E8A00620"/>
    <w:lvl w:ilvl="0" w:tplc="8B9C4F8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971E6"/>
    <w:multiLevelType w:val="hybridMultilevel"/>
    <w:tmpl w:val="1E9C87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3B1451"/>
    <w:multiLevelType w:val="hybridMultilevel"/>
    <w:tmpl w:val="7B12E430"/>
    <w:lvl w:ilvl="0" w:tplc="310AA726">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5600B"/>
    <w:multiLevelType w:val="hybridMultilevel"/>
    <w:tmpl w:val="3A0401B2"/>
    <w:lvl w:ilvl="0" w:tplc="BEAA2CD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28BC"/>
    <w:multiLevelType w:val="hybridMultilevel"/>
    <w:tmpl w:val="E7B2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7065EA"/>
    <w:multiLevelType w:val="hybridMultilevel"/>
    <w:tmpl w:val="64FEBC28"/>
    <w:lvl w:ilvl="0" w:tplc="6D34D3BC">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428A1"/>
    <w:multiLevelType w:val="hybridMultilevel"/>
    <w:tmpl w:val="384E77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6439BC"/>
    <w:multiLevelType w:val="hybridMultilevel"/>
    <w:tmpl w:val="24B23C5E"/>
    <w:lvl w:ilvl="0" w:tplc="2B1405A2">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A612C9"/>
    <w:multiLevelType w:val="hybridMultilevel"/>
    <w:tmpl w:val="E1643AF8"/>
    <w:lvl w:ilvl="0" w:tplc="04090019">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A4CE9"/>
    <w:multiLevelType w:val="hybridMultilevel"/>
    <w:tmpl w:val="48707E26"/>
    <w:lvl w:ilvl="0" w:tplc="3A7E44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03470"/>
    <w:multiLevelType w:val="hybridMultilevel"/>
    <w:tmpl w:val="3CA863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F445ED"/>
    <w:multiLevelType w:val="hybridMultilevel"/>
    <w:tmpl w:val="E2127944"/>
    <w:lvl w:ilvl="0" w:tplc="04090019">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4177C"/>
    <w:multiLevelType w:val="hybridMultilevel"/>
    <w:tmpl w:val="79C6FB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B87503"/>
    <w:multiLevelType w:val="hybridMultilevel"/>
    <w:tmpl w:val="EC5890A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A4E60"/>
    <w:multiLevelType w:val="hybridMultilevel"/>
    <w:tmpl w:val="E8220164"/>
    <w:lvl w:ilvl="0" w:tplc="3FC0077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401B7"/>
    <w:multiLevelType w:val="hybridMultilevel"/>
    <w:tmpl w:val="E9DC4CFA"/>
    <w:lvl w:ilvl="0" w:tplc="04090001">
      <w:start w:val="1"/>
      <w:numFmt w:val="bullet"/>
      <w:lvlText w:val=""/>
      <w:lvlJc w:val="left"/>
      <w:pPr>
        <w:ind w:left="1440" w:hanging="360"/>
      </w:pPr>
      <w:rPr>
        <w:rFonts w:ascii="Symbol" w:hAnsi="Symbol" w:hint="default"/>
      </w:rPr>
    </w:lvl>
    <w:lvl w:ilvl="1" w:tplc="8ADA4D9C">
      <w:start w:val="1"/>
      <w:numFmt w:val="decimal"/>
      <w:lvlText w:val="%2."/>
      <w:lvlJc w:val="left"/>
      <w:pPr>
        <w:tabs>
          <w:tab w:val="num" w:pos="450"/>
        </w:tabs>
        <w:ind w:left="450" w:hanging="360"/>
      </w:pPr>
    </w:lvl>
    <w:lvl w:ilvl="2" w:tplc="F2AA1DDE">
      <w:start w:val="1"/>
      <w:numFmt w:val="decimal"/>
      <w:lvlText w:val="%3."/>
      <w:lvlJc w:val="left"/>
      <w:pPr>
        <w:tabs>
          <w:tab w:val="num" w:pos="2160"/>
        </w:tabs>
        <w:ind w:left="2160" w:hanging="360"/>
      </w:pPr>
    </w:lvl>
    <w:lvl w:ilvl="3" w:tplc="334692D8">
      <w:start w:val="1"/>
      <w:numFmt w:val="decimal"/>
      <w:lvlText w:val="%4."/>
      <w:lvlJc w:val="left"/>
      <w:pPr>
        <w:tabs>
          <w:tab w:val="num" w:pos="2880"/>
        </w:tabs>
        <w:ind w:left="2880" w:hanging="360"/>
      </w:pPr>
    </w:lvl>
    <w:lvl w:ilvl="4" w:tplc="D02CE21A">
      <w:start w:val="1"/>
      <w:numFmt w:val="decimal"/>
      <w:lvlText w:val="%5."/>
      <w:lvlJc w:val="left"/>
      <w:pPr>
        <w:tabs>
          <w:tab w:val="num" w:pos="3600"/>
        </w:tabs>
        <w:ind w:left="3600" w:hanging="360"/>
      </w:pPr>
    </w:lvl>
    <w:lvl w:ilvl="5" w:tplc="992E0652">
      <w:start w:val="1"/>
      <w:numFmt w:val="decimal"/>
      <w:lvlText w:val="%6."/>
      <w:lvlJc w:val="left"/>
      <w:pPr>
        <w:tabs>
          <w:tab w:val="num" w:pos="4320"/>
        </w:tabs>
        <w:ind w:left="4320" w:hanging="360"/>
      </w:pPr>
    </w:lvl>
    <w:lvl w:ilvl="6" w:tplc="EB2A565E">
      <w:start w:val="1"/>
      <w:numFmt w:val="decimal"/>
      <w:lvlText w:val="%7."/>
      <w:lvlJc w:val="left"/>
      <w:pPr>
        <w:tabs>
          <w:tab w:val="num" w:pos="5040"/>
        </w:tabs>
        <w:ind w:left="5040" w:hanging="360"/>
      </w:pPr>
    </w:lvl>
    <w:lvl w:ilvl="7" w:tplc="CB9A5B62">
      <w:start w:val="1"/>
      <w:numFmt w:val="decimal"/>
      <w:lvlText w:val="%8."/>
      <w:lvlJc w:val="left"/>
      <w:pPr>
        <w:tabs>
          <w:tab w:val="num" w:pos="5760"/>
        </w:tabs>
        <w:ind w:left="5760" w:hanging="360"/>
      </w:pPr>
    </w:lvl>
    <w:lvl w:ilvl="8" w:tplc="46020F12">
      <w:start w:val="1"/>
      <w:numFmt w:val="decimal"/>
      <w:lvlText w:val="%9."/>
      <w:lvlJc w:val="left"/>
      <w:pPr>
        <w:tabs>
          <w:tab w:val="num" w:pos="6480"/>
        </w:tabs>
        <w:ind w:left="6480" w:hanging="360"/>
      </w:pPr>
    </w:lvl>
  </w:abstractNum>
  <w:abstractNum w:abstractNumId="24">
    <w:nsid w:val="6761544A"/>
    <w:multiLevelType w:val="hybridMultilevel"/>
    <w:tmpl w:val="7D6E630A"/>
    <w:lvl w:ilvl="0" w:tplc="4CB2BA7C">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6F3444"/>
    <w:multiLevelType w:val="hybridMultilevel"/>
    <w:tmpl w:val="A2A4E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0"/>
  </w:num>
  <w:num w:numId="8">
    <w:abstractNumId w:val="1"/>
  </w:num>
  <w:num w:numId="9">
    <w:abstractNumId w:val="9"/>
  </w:num>
  <w:num w:numId="10">
    <w:abstractNumId w:val="21"/>
  </w:num>
  <w:num w:numId="11">
    <w:abstractNumId w:val="25"/>
  </w:num>
  <w:num w:numId="12">
    <w:abstractNumId w:val="14"/>
  </w:num>
  <w:num w:numId="13">
    <w:abstractNumId w:val="12"/>
  </w:num>
  <w:num w:numId="14">
    <w:abstractNumId w:val="20"/>
  </w:num>
  <w:num w:numId="15">
    <w:abstractNumId w:val="2"/>
  </w:num>
  <w:num w:numId="16">
    <w:abstractNumId w:val="8"/>
  </w:num>
  <w:num w:numId="17">
    <w:abstractNumId w:val="6"/>
  </w:num>
  <w:num w:numId="18">
    <w:abstractNumId w:val="24"/>
  </w:num>
  <w:num w:numId="19">
    <w:abstractNumId w:val="10"/>
  </w:num>
  <w:num w:numId="20">
    <w:abstractNumId w:val="13"/>
  </w:num>
  <w:num w:numId="21">
    <w:abstractNumId w:val="7"/>
  </w:num>
  <w:num w:numId="22">
    <w:abstractNumId w:val="5"/>
  </w:num>
  <w:num w:numId="23">
    <w:abstractNumId w:val="19"/>
  </w:num>
  <w:num w:numId="24">
    <w:abstractNumId w:val="16"/>
  </w:num>
  <w:num w:numId="25">
    <w:abstractNumId w:val="3"/>
  </w:num>
  <w:num w:numId="26">
    <w:abstractNumId w:val="22"/>
  </w:num>
  <w:num w:numId="27">
    <w:abstractNumId w:val="11"/>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B5753"/>
    <w:rsid w:val="000003A1"/>
    <w:rsid w:val="000009D0"/>
    <w:rsid w:val="00000E3C"/>
    <w:rsid w:val="00001056"/>
    <w:rsid w:val="0000244D"/>
    <w:rsid w:val="00002B78"/>
    <w:rsid w:val="00003352"/>
    <w:rsid w:val="0000422F"/>
    <w:rsid w:val="0000451D"/>
    <w:rsid w:val="00005C89"/>
    <w:rsid w:val="00005D31"/>
    <w:rsid w:val="000066CC"/>
    <w:rsid w:val="0000730B"/>
    <w:rsid w:val="000075B4"/>
    <w:rsid w:val="0000775F"/>
    <w:rsid w:val="00007E23"/>
    <w:rsid w:val="000106A3"/>
    <w:rsid w:val="000117B7"/>
    <w:rsid w:val="00012362"/>
    <w:rsid w:val="00012378"/>
    <w:rsid w:val="00012868"/>
    <w:rsid w:val="00012DEF"/>
    <w:rsid w:val="00013F71"/>
    <w:rsid w:val="0001588C"/>
    <w:rsid w:val="00016E7F"/>
    <w:rsid w:val="00017B07"/>
    <w:rsid w:val="00017F6D"/>
    <w:rsid w:val="00017F84"/>
    <w:rsid w:val="0002243A"/>
    <w:rsid w:val="00022A9E"/>
    <w:rsid w:val="000236A8"/>
    <w:rsid w:val="00024537"/>
    <w:rsid w:val="000245F7"/>
    <w:rsid w:val="00024625"/>
    <w:rsid w:val="00024AAD"/>
    <w:rsid w:val="0002521E"/>
    <w:rsid w:val="000262D4"/>
    <w:rsid w:val="000269E3"/>
    <w:rsid w:val="00026E99"/>
    <w:rsid w:val="0002727B"/>
    <w:rsid w:val="00027709"/>
    <w:rsid w:val="00030861"/>
    <w:rsid w:val="00030918"/>
    <w:rsid w:val="0003261A"/>
    <w:rsid w:val="00033196"/>
    <w:rsid w:val="00033497"/>
    <w:rsid w:val="000336B9"/>
    <w:rsid w:val="00033AA9"/>
    <w:rsid w:val="00033FF3"/>
    <w:rsid w:val="000355A5"/>
    <w:rsid w:val="00035939"/>
    <w:rsid w:val="0003622C"/>
    <w:rsid w:val="0003753C"/>
    <w:rsid w:val="00037E3F"/>
    <w:rsid w:val="000403D9"/>
    <w:rsid w:val="0004064E"/>
    <w:rsid w:val="00040AB0"/>
    <w:rsid w:val="00040B20"/>
    <w:rsid w:val="000410C3"/>
    <w:rsid w:val="000418B1"/>
    <w:rsid w:val="000419F3"/>
    <w:rsid w:val="00041D08"/>
    <w:rsid w:val="00042A0B"/>
    <w:rsid w:val="00042C4E"/>
    <w:rsid w:val="0004312F"/>
    <w:rsid w:val="00043377"/>
    <w:rsid w:val="00043CCC"/>
    <w:rsid w:val="00045145"/>
    <w:rsid w:val="000451FF"/>
    <w:rsid w:val="00045323"/>
    <w:rsid w:val="000463C0"/>
    <w:rsid w:val="00046826"/>
    <w:rsid w:val="00046F08"/>
    <w:rsid w:val="00047474"/>
    <w:rsid w:val="0004773F"/>
    <w:rsid w:val="000477F7"/>
    <w:rsid w:val="00047D14"/>
    <w:rsid w:val="00047E99"/>
    <w:rsid w:val="00050744"/>
    <w:rsid w:val="00052B12"/>
    <w:rsid w:val="00053591"/>
    <w:rsid w:val="000535F7"/>
    <w:rsid w:val="00053E9D"/>
    <w:rsid w:val="000543DE"/>
    <w:rsid w:val="0005522E"/>
    <w:rsid w:val="00056370"/>
    <w:rsid w:val="0005679D"/>
    <w:rsid w:val="00057250"/>
    <w:rsid w:val="000572F4"/>
    <w:rsid w:val="00057A2C"/>
    <w:rsid w:val="00057E0E"/>
    <w:rsid w:val="0006016A"/>
    <w:rsid w:val="00060298"/>
    <w:rsid w:val="0006085D"/>
    <w:rsid w:val="000609A6"/>
    <w:rsid w:val="00060C09"/>
    <w:rsid w:val="000622C0"/>
    <w:rsid w:val="000623B4"/>
    <w:rsid w:val="00062D0E"/>
    <w:rsid w:val="000632E8"/>
    <w:rsid w:val="00063D83"/>
    <w:rsid w:val="00063FAE"/>
    <w:rsid w:val="00064682"/>
    <w:rsid w:val="000650CD"/>
    <w:rsid w:val="00066121"/>
    <w:rsid w:val="00066294"/>
    <w:rsid w:val="00066A20"/>
    <w:rsid w:val="00067945"/>
    <w:rsid w:val="000703F4"/>
    <w:rsid w:val="00070EC6"/>
    <w:rsid w:val="00071080"/>
    <w:rsid w:val="00071710"/>
    <w:rsid w:val="00071FF3"/>
    <w:rsid w:val="00072F35"/>
    <w:rsid w:val="00072F38"/>
    <w:rsid w:val="000730C6"/>
    <w:rsid w:val="00073322"/>
    <w:rsid w:val="0007359F"/>
    <w:rsid w:val="000746BC"/>
    <w:rsid w:val="00074CE8"/>
    <w:rsid w:val="00075CA3"/>
    <w:rsid w:val="00075F81"/>
    <w:rsid w:val="00076ADC"/>
    <w:rsid w:val="00077FFC"/>
    <w:rsid w:val="000800C3"/>
    <w:rsid w:val="00080619"/>
    <w:rsid w:val="0008092E"/>
    <w:rsid w:val="00080C00"/>
    <w:rsid w:val="00082382"/>
    <w:rsid w:val="00082551"/>
    <w:rsid w:val="0008272E"/>
    <w:rsid w:val="00082781"/>
    <w:rsid w:val="00084CCE"/>
    <w:rsid w:val="00085EDD"/>
    <w:rsid w:val="000865CE"/>
    <w:rsid w:val="00086B68"/>
    <w:rsid w:val="00086B9C"/>
    <w:rsid w:val="00087065"/>
    <w:rsid w:val="000906CE"/>
    <w:rsid w:val="00090C85"/>
    <w:rsid w:val="0009155E"/>
    <w:rsid w:val="000918D4"/>
    <w:rsid w:val="00091AA5"/>
    <w:rsid w:val="0009220B"/>
    <w:rsid w:val="000929EA"/>
    <w:rsid w:val="00092C03"/>
    <w:rsid w:val="000933C1"/>
    <w:rsid w:val="0009359D"/>
    <w:rsid w:val="00093EC4"/>
    <w:rsid w:val="00094345"/>
    <w:rsid w:val="00094AD8"/>
    <w:rsid w:val="000950B7"/>
    <w:rsid w:val="0009556F"/>
    <w:rsid w:val="00095AB4"/>
    <w:rsid w:val="00095C0D"/>
    <w:rsid w:val="00096510"/>
    <w:rsid w:val="00096D52"/>
    <w:rsid w:val="00097863"/>
    <w:rsid w:val="0009793A"/>
    <w:rsid w:val="00097BEC"/>
    <w:rsid w:val="000A0487"/>
    <w:rsid w:val="000A05DE"/>
    <w:rsid w:val="000A0771"/>
    <w:rsid w:val="000A0B0B"/>
    <w:rsid w:val="000A0F63"/>
    <w:rsid w:val="000A17FF"/>
    <w:rsid w:val="000A1841"/>
    <w:rsid w:val="000A1BFF"/>
    <w:rsid w:val="000A1D68"/>
    <w:rsid w:val="000A2C78"/>
    <w:rsid w:val="000A2DB7"/>
    <w:rsid w:val="000A31E5"/>
    <w:rsid w:val="000A3277"/>
    <w:rsid w:val="000A3FFB"/>
    <w:rsid w:val="000A410C"/>
    <w:rsid w:val="000A4597"/>
    <w:rsid w:val="000A4BFD"/>
    <w:rsid w:val="000A4DAC"/>
    <w:rsid w:val="000A63D9"/>
    <w:rsid w:val="000A6FF8"/>
    <w:rsid w:val="000A7246"/>
    <w:rsid w:val="000A78F5"/>
    <w:rsid w:val="000B094D"/>
    <w:rsid w:val="000B22DF"/>
    <w:rsid w:val="000B296E"/>
    <w:rsid w:val="000B2BAC"/>
    <w:rsid w:val="000B3CBE"/>
    <w:rsid w:val="000B504D"/>
    <w:rsid w:val="000B52E1"/>
    <w:rsid w:val="000B5778"/>
    <w:rsid w:val="000B5BC8"/>
    <w:rsid w:val="000B71C3"/>
    <w:rsid w:val="000C051A"/>
    <w:rsid w:val="000C142A"/>
    <w:rsid w:val="000C1C2A"/>
    <w:rsid w:val="000C1EBB"/>
    <w:rsid w:val="000C202E"/>
    <w:rsid w:val="000C2153"/>
    <w:rsid w:val="000C21C1"/>
    <w:rsid w:val="000C230F"/>
    <w:rsid w:val="000C263B"/>
    <w:rsid w:val="000C343D"/>
    <w:rsid w:val="000C35B3"/>
    <w:rsid w:val="000C3C79"/>
    <w:rsid w:val="000C3CC8"/>
    <w:rsid w:val="000C4055"/>
    <w:rsid w:val="000C4304"/>
    <w:rsid w:val="000C445F"/>
    <w:rsid w:val="000C45E2"/>
    <w:rsid w:val="000C4FC8"/>
    <w:rsid w:val="000C5224"/>
    <w:rsid w:val="000C52C3"/>
    <w:rsid w:val="000C5402"/>
    <w:rsid w:val="000C672E"/>
    <w:rsid w:val="000C695A"/>
    <w:rsid w:val="000C6A7D"/>
    <w:rsid w:val="000C7B2E"/>
    <w:rsid w:val="000D227A"/>
    <w:rsid w:val="000D2C53"/>
    <w:rsid w:val="000D35C7"/>
    <w:rsid w:val="000D36F3"/>
    <w:rsid w:val="000D3F68"/>
    <w:rsid w:val="000D4441"/>
    <w:rsid w:val="000D451B"/>
    <w:rsid w:val="000D54CC"/>
    <w:rsid w:val="000D5522"/>
    <w:rsid w:val="000D607F"/>
    <w:rsid w:val="000D725D"/>
    <w:rsid w:val="000D7928"/>
    <w:rsid w:val="000D7E26"/>
    <w:rsid w:val="000E000F"/>
    <w:rsid w:val="000E0320"/>
    <w:rsid w:val="000E0562"/>
    <w:rsid w:val="000E0BE9"/>
    <w:rsid w:val="000E15DD"/>
    <w:rsid w:val="000E1D3C"/>
    <w:rsid w:val="000E1F78"/>
    <w:rsid w:val="000E1FB1"/>
    <w:rsid w:val="000E1FBE"/>
    <w:rsid w:val="000E23F0"/>
    <w:rsid w:val="000E2551"/>
    <w:rsid w:val="000E3D23"/>
    <w:rsid w:val="000E4483"/>
    <w:rsid w:val="000E4844"/>
    <w:rsid w:val="000E537D"/>
    <w:rsid w:val="000E5796"/>
    <w:rsid w:val="000E5A08"/>
    <w:rsid w:val="000E5A63"/>
    <w:rsid w:val="000E6284"/>
    <w:rsid w:val="000E6300"/>
    <w:rsid w:val="000E63EB"/>
    <w:rsid w:val="000E65F0"/>
    <w:rsid w:val="000E7142"/>
    <w:rsid w:val="000E7643"/>
    <w:rsid w:val="000E79FE"/>
    <w:rsid w:val="000F00D3"/>
    <w:rsid w:val="000F0B94"/>
    <w:rsid w:val="000F1A35"/>
    <w:rsid w:val="000F1A4A"/>
    <w:rsid w:val="000F1A55"/>
    <w:rsid w:val="000F1F64"/>
    <w:rsid w:val="000F2305"/>
    <w:rsid w:val="000F2321"/>
    <w:rsid w:val="000F23DA"/>
    <w:rsid w:val="000F267F"/>
    <w:rsid w:val="000F2DC8"/>
    <w:rsid w:val="000F2F1D"/>
    <w:rsid w:val="000F3B83"/>
    <w:rsid w:val="000F3C87"/>
    <w:rsid w:val="000F3E18"/>
    <w:rsid w:val="000F3FE0"/>
    <w:rsid w:val="000F42E6"/>
    <w:rsid w:val="000F5561"/>
    <w:rsid w:val="000F5737"/>
    <w:rsid w:val="000F69E6"/>
    <w:rsid w:val="000F6CDE"/>
    <w:rsid w:val="000F7A5D"/>
    <w:rsid w:val="00100A00"/>
    <w:rsid w:val="00101130"/>
    <w:rsid w:val="00101215"/>
    <w:rsid w:val="001012A4"/>
    <w:rsid w:val="001014EC"/>
    <w:rsid w:val="0010150D"/>
    <w:rsid w:val="0010161A"/>
    <w:rsid w:val="001019C1"/>
    <w:rsid w:val="00101A37"/>
    <w:rsid w:val="00102735"/>
    <w:rsid w:val="0010293A"/>
    <w:rsid w:val="00102C02"/>
    <w:rsid w:val="00103329"/>
    <w:rsid w:val="001038EE"/>
    <w:rsid w:val="00104B10"/>
    <w:rsid w:val="00104B8A"/>
    <w:rsid w:val="00105149"/>
    <w:rsid w:val="001061B1"/>
    <w:rsid w:val="00106291"/>
    <w:rsid w:val="00106803"/>
    <w:rsid w:val="00107A5F"/>
    <w:rsid w:val="00107F60"/>
    <w:rsid w:val="00110385"/>
    <w:rsid w:val="001107E8"/>
    <w:rsid w:val="00110CF5"/>
    <w:rsid w:val="00111639"/>
    <w:rsid w:val="00112AFA"/>
    <w:rsid w:val="00113789"/>
    <w:rsid w:val="001138BE"/>
    <w:rsid w:val="001143E9"/>
    <w:rsid w:val="001144D3"/>
    <w:rsid w:val="00114BF8"/>
    <w:rsid w:val="001151C0"/>
    <w:rsid w:val="00115834"/>
    <w:rsid w:val="00115FE9"/>
    <w:rsid w:val="00117167"/>
    <w:rsid w:val="00117699"/>
    <w:rsid w:val="00117B17"/>
    <w:rsid w:val="00120272"/>
    <w:rsid w:val="001206AB"/>
    <w:rsid w:val="00120E83"/>
    <w:rsid w:val="001213CB"/>
    <w:rsid w:val="00121B67"/>
    <w:rsid w:val="00121FDB"/>
    <w:rsid w:val="00122F7C"/>
    <w:rsid w:val="0012379B"/>
    <w:rsid w:val="00123FAC"/>
    <w:rsid w:val="00125012"/>
    <w:rsid w:val="00125BF3"/>
    <w:rsid w:val="00125E36"/>
    <w:rsid w:val="0012695E"/>
    <w:rsid w:val="001272A8"/>
    <w:rsid w:val="0012772D"/>
    <w:rsid w:val="0012792E"/>
    <w:rsid w:val="00130092"/>
    <w:rsid w:val="00130218"/>
    <w:rsid w:val="00130CA7"/>
    <w:rsid w:val="00131388"/>
    <w:rsid w:val="00131994"/>
    <w:rsid w:val="00131B58"/>
    <w:rsid w:val="00131D1A"/>
    <w:rsid w:val="001321FB"/>
    <w:rsid w:val="00132AC0"/>
    <w:rsid w:val="00132D5B"/>
    <w:rsid w:val="00133238"/>
    <w:rsid w:val="00134158"/>
    <w:rsid w:val="001346C4"/>
    <w:rsid w:val="0013526D"/>
    <w:rsid w:val="00135AB2"/>
    <w:rsid w:val="00136083"/>
    <w:rsid w:val="00137905"/>
    <w:rsid w:val="0013799E"/>
    <w:rsid w:val="001407AF"/>
    <w:rsid w:val="00140977"/>
    <w:rsid w:val="00140D7B"/>
    <w:rsid w:val="00140E8A"/>
    <w:rsid w:val="0014108F"/>
    <w:rsid w:val="00141830"/>
    <w:rsid w:val="0014257B"/>
    <w:rsid w:val="00142C5A"/>
    <w:rsid w:val="001436F3"/>
    <w:rsid w:val="00144501"/>
    <w:rsid w:val="00144B02"/>
    <w:rsid w:val="00144B45"/>
    <w:rsid w:val="00145548"/>
    <w:rsid w:val="00145670"/>
    <w:rsid w:val="00145A45"/>
    <w:rsid w:val="00145CD8"/>
    <w:rsid w:val="0014640B"/>
    <w:rsid w:val="00146D48"/>
    <w:rsid w:val="0014758B"/>
    <w:rsid w:val="00147B65"/>
    <w:rsid w:val="001506CD"/>
    <w:rsid w:val="00150821"/>
    <w:rsid w:val="0015153E"/>
    <w:rsid w:val="00153102"/>
    <w:rsid w:val="00153827"/>
    <w:rsid w:val="00153E6E"/>
    <w:rsid w:val="00154470"/>
    <w:rsid w:val="0015476D"/>
    <w:rsid w:val="001548DA"/>
    <w:rsid w:val="00156341"/>
    <w:rsid w:val="00157039"/>
    <w:rsid w:val="001607BA"/>
    <w:rsid w:val="0016326C"/>
    <w:rsid w:val="001632C7"/>
    <w:rsid w:val="00163458"/>
    <w:rsid w:val="0016377F"/>
    <w:rsid w:val="0016382B"/>
    <w:rsid w:val="00163EB8"/>
    <w:rsid w:val="001641A0"/>
    <w:rsid w:val="0016461E"/>
    <w:rsid w:val="00164784"/>
    <w:rsid w:val="00164D56"/>
    <w:rsid w:val="00165EA7"/>
    <w:rsid w:val="00165F87"/>
    <w:rsid w:val="00166A24"/>
    <w:rsid w:val="00166FE6"/>
    <w:rsid w:val="0016736F"/>
    <w:rsid w:val="001674DB"/>
    <w:rsid w:val="001674DC"/>
    <w:rsid w:val="00167A35"/>
    <w:rsid w:val="00167F90"/>
    <w:rsid w:val="001708C3"/>
    <w:rsid w:val="00170A79"/>
    <w:rsid w:val="00170B1D"/>
    <w:rsid w:val="00171050"/>
    <w:rsid w:val="001713BF"/>
    <w:rsid w:val="00171612"/>
    <w:rsid w:val="00171654"/>
    <w:rsid w:val="00171972"/>
    <w:rsid w:val="00171EDF"/>
    <w:rsid w:val="0017210F"/>
    <w:rsid w:val="00173ABE"/>
    <w:rsid w:val="00174968"/>
    <w:rsid w:val="0017563E"/>
    <w:rsid w:val="0017597B"/>
    <w:rsid w:val="001759AE"/>
    <w:rsid w:val="001762D0"/>
    <w:rsid w:val="00176643"/>
    <w:rsid w:val="00176E7D"/>
    <w:rsid w:val="001777A3"/>
    <w:rsid w:val="00177A5E"/>
    <w:rsid w:val="00181136"/>
    <w:rsid w:val="001822C0"/>
    <w:rsid w:val="001827A6"/>
    <w:rsid w:val="001835D6"/>
    <w:rsid w:val="00184B51"/>
    <w:rsid w:val="00185B14"/>
    <w:rsid w:val="00185B27"/>
    <w:rsid w:val="001862F4"/>
    <w:rsid w:val="0018664B"/>
    <w:rsid w:val="0018680A"/>
    <w:rsid w:val="00186BFD"/>
    <w:rsid w:val="001879C3"/>
    <w:rsid w:val="00187B29"/>
    <w:rsid w:val="001906BD"/>
    <w:rsid w:val="00190981"/>
    <w:rsid w:val="00190E11"/>
    <w:rsid w:val="0019232E"/>
    <w:rsid w:val="001927B5"/>
    <w:rsid w:val="0019288D"/>
    <w:rsid w:val="00192BD2"/>
    <w:rsid w:val="00192DF0"/>
    <w:rsid w:val="00193B46"/>
    <w:rsid w:val="00194110"/>
    <w:rsid w:val="001947FC"/>
    <w:rsid w:val="00195717"/>
    <w:rsid w:val="00196BE0"/>
    <w:rsid w:val="00196EFF"/>
    <w:rsid w:val="00197158"/>
    <w:rsid w:val="001A015C"/>
    <w:rsid w:val="001A0FA4"/>
    <w:rsid w:val="001A182C"/>
    <w:rsid w:val="001A1FFE"/>
    <w:rsid w:val="001A2235"/>
    <w:rsid w:val="001A2941"/>
    <w:rsid w:val="001A30C8"/>
    <w:rsid w:val="001A316E"/>
    <w:rsid w:val="001A343F"/>
    <w:rsid w:val="001A42CD"/>
    <w:rsid w:val="001A4838"/>
    <w:rsid w:val="001A4989"/>
    <w:rsid w:val="001A5349"/>
    <w:rsid w:val="001A58A9"/>
    <w:rsid w:val="001A7031"/>
    <w:rsid w:val="001B04F8"/>
    <w:rsid w:val="001B05EA"/>
    <w:rsid w:val="001B0976"/>
    <w:rsid w:val="001B1875"/>
    <w:rsid w:val="001B1EED"/>
    <w:rsid w:val="001B202D"/>
    <w:rsid w:val="001B2A0B"/>
    <w:rsid w:val="001B301F"/>
    <w:rsid w:val="001B3039"/>
    <w:rsid w:val="001B31F5"/>
    <w:rsid w:val="001B3462"/>
    <w:rsid w:val="001B353E"/>
    <w:rsid w:val="001B48FE"/>
    <w:rsid w:val="001B4EA2"/>
    <w:rsid w:val="001B5AE4"/>
    <w:rsid w:val="001B6E9B"/>
    <w:rsid w:val="001B7A2B"/>
    <w:rsid w:val="001B7D44"/>
    <w:rsid w:val="001C0291"/>
    <w:rsid w:val="001C03A0"/>
    <w:rsid w:val="001C080D"/>
    <w:rsid w:val="001C0DB4"/>
    <w:rsid w:val="001C14E7"/>
    <w:rsid w:val="001C1D10"/>
    <w:rsid w:val="001C32CA"/>
    <w:rsid w:val="001C3339"/>
    <w:rsid w:val="001C340A"/>
    <w:rsid w:val="001C3ACC"/>
    <w:rsid w:val="001C49F3"/>
    <w:rsid w:val="001C4B5E"/>
    <w:rsid w:val="001C58AD"/>
    <w:rsid w:val="001C58C9"/>
    <w:rsid w:val="001C5BEF"/>
    <w:rsid w:val="001C62A9"/>
    <w:rsid w:val="001C6B5A"/>
    <w:rsid w:val="001C7227"/>
    <w:rsid w:val="001C7D64"/>
    <w:rsid w:val="001C7F6C"/>
    <w:rsid w:val="001D0C3E"/>
    <w:rsid w:val="001D0FC6"/>
    <w:rsid w:val="001D18A6"/>
    <w:rsid w:val="001D1B37"/>
    <w:rsid w:val="001D1DE8"/>
    <w:rsid w:val="001D2037"/>
    <w:rsid w:val="001D229E"/>
    <w:rsid w:val="001D2EE9"/>
    <w:rsid w:val="001D39F8"/>
    <w:rsid w:val="001D42B1"/>
    <w:rsid w:val="001D42BB"/>
    <w:rsid w:val="001D4A8B"/>
    <w:rsid w:val="001D4B8A"/>
    <w:rsid w:val="001D5428"/>
    <w:rsid w:val="001D6663"/>
    <w:rsid w:val="001D690B"/>
    <w:rsid w:val="001D6A15"/>
    <w:rsid w:val="001D6F00"/>
    <w:rsid w:val="001E027E"/>
    <w:rsid w:val="001E0E36"/>
    <w:rsid w:val="001E10AD"/>
    <w:rsid w:val="001E16B0"/>
    <w:rsid w:val="001E17AC"/>
    <w:rsid w:val="001E17E4"/>
    <w:rsid w:val="001E1C62"/>
    <w:rsid w:val="001E40F5"/>
    <w:rsid w:val="001E4155"/>
    <w:rsid w:val="001E41F9"/>
    <w:rsid w:val="001E4DC0"/>
    <w:rsid w:val="001E6C8A"/>
    <w:rsid w:val="001E6D69"/>
    <w:rsid w:val="001E74A3"/>
    <w:rsid w:val="001E78B6"/>
    <w:rsid w:val="001E7D5D"/>
    <w:rsid w:val="001F01D3"/>
    <w:rsid w:val="001F0E1B"/>
    <w:rsid w:val="001F190B"/>
    <w:rsid w:val="001F1A44"/>
    <w:rsid w:val="001F1E69"/>
    <w:rsid w:val="001F491D"/>
    <w:rsid w:val="001F4C03"/>
    <w:rsid w:val="001F4E85"/>
    <w:rsid w:val="001F6402"/>
    <w:rsid w:val="001F6FAF"/>
    <w:rsid w:val="001F7CF9"/>
    <w:rsid w:val="0020084C"/>
    <w:rsid w:val="00200FDE"/>
    <w:rsid w:val="0020111E"/>
    <w:rsid w:val="00201206"/>
    <w:rsid w:val="00201EFB"/>
    <w:rsid w:val="00202320"/>
    <w:rsid w:val="0020233B"/>
    <w:rsid w:val="00202586"/>
    <w:rsid w:val="002029EB"/>
    <w:rsid w:val="002030D2"/>
    <w:rsid w:val="00203302"/>
    <w:rsid w:val="00203881"/>
    <w:rsid w:val="00203C37"/>
    <w:rsid w:val="00203E79"/>
    <w:rsid w:val="00203FD9"/>
    <w:rsid w:val="0020434A"/>
    <w:rsid w:val="00204AEF"/>
    <w:rsid w:val="00204B46"/>
    <w:rsid w:val="0020502E"/>
    <w:rsid w:val="0020518C"/>
    <w:rsid w:val="0020647F"/>
    <w:rsid w:val="00206885"/>
    <w:rsid w:val="00207831"/>
    <w:rsid w:val="00207AC5"/>
    <w:rsid w:val="002100E6"/>
    <w:rsid w:val="00210EB1"/>
    <w:rsid w:val="00210F20"/>
    <w:rsid w:val="00211330"/>
    <w:rsid w:val="00211CC5"/>
    <w:rsid w:val="00211EDF"/>
    <w:rsid w:val="00212A5A"/>
    <w:rsid w:val="00212CBC"/>
    <w:rsid w:val="00212FBD"/>
    <w:rsid w:val="002137CC"/>
    <w:rsid w:val="0021464A"/>
    <w:rsid w:val="0021471C"/>
    <w:rsid w:val="0021663E"/>
    <w:rsid w:val="00216BA7"/>
    <w:rsid w:val="00216E3A"/>
    <w:rsid w:val="0021785A"/>
    <w:rsid w:val="00217B99"/>
    <w:rsid w:val="00217DAC"/>
    <w:rsid w:val="002207FC"/>
    <w:rsid w:val="00220C27"/>
    <w:rsid w:val="00221A96"/>
    <w:rsid w:val="00221FD8"/>
    <w:rsid w:val="002229FA"/>
    <w:rsid w:val="00222A09"/>
    <w:rsid w:val="00222AEB"/>
    <w:rsid w:val="00223092"/>
    <w:rsid w:val="0022313B"/>
    <w:rsid w:val="00223D03"/>
    <w:rsid w:val="002246F9"/>
    <w:rsid w:val="00224D85"/>
    <w:rsid w:val="00224E82"/>
    <w:rsid w:val="00226641"/>
    <w:rsid w:val="00227A8E"/>
    <w:rsid w:val="0023042E"/>
    <w:rsid w:val="00230D39"/>
    <w:rsid w:val="00230F73"/>
    <w:rsid w:val="0023101D"/>
    <w:rsid w:val="00232361"/>
    <w:rsid w:val="002327B3"/>
    <w:rsid w:val="00234132"/>
    <w:rsid w:val="00234794"/>
    <w:rsid w:val="00234A0A"/>
    <w:rsid w:val="002351AF"/>
    <w:rsid w:val="00235BAB"/>
    <w:rsid w:val="00235BE0"/>
    <w:rsid w:val="00235ED9"/>
    <w:rsid w:val="00235F45"/>
    <w:rsid w:val="00237134"/>
    <w:rsid w:val="00237EFE"/>
    <w:rsid w:val="0024046D"/>
    <w:rsid w:val="00240F58"/>
    <w:rsid w:val="002410B4"/>
    <w:rsid w:val="00241899"/>
    <w:rsid w:val="00241A45"/>
    <w:rsid w:val="0024206A"/>
    <w:rsid w:val="00242E98"/>
    <w:rsid w:val="00243963"/>
    <w:rsid w:val="00244256"/>
    <w:rsid w:val="00244BCE"/>
    <w:rsid w:val="00244C13"/>
    <w:rsid w:val="00244DF4"/>
    <w:rsid w:val="00246099"/>
    <w:rsid w:val="00246997"/>
    <w:rsid w:val="00246BF5"/>
    <w:rsid w:val="00247BED"/>
    <w:rsid w:val="002501DE"/>
    <w:rsid w:val="00250BF4"/>
    <w:rsid w:val="00251D24"/>
    <w:rsid w:val="00252316"/>
    <w:rsid w:val="00252378"/>
    <w:rsid w:val="00252862"/>
    <w:rsid w:val="00252BC7"/>
    <w:rsid w:val="00253131"/>
    <w:rsid w:val="00254E1B"/>
    <w:rsid w:val="00255103"/>
    <w:rsid w:val="0025567C"/>
    <w:rsid w:val="0025638F"/>
    <w:rsid w:val="00256550"/>
    <w:rsid w:val="00257626"/>
    <w:rsid w:val="00257C72"/>
    <w:rsid w:val="002600B1"/>
    <w:rsid w:val="00261059"/>
    <w:rsid w:val="0026126E"/>
    <w:rsid w:val="00262391"/>
    <w:rsid w:val="002641AE"/>
    <w:rsid w:val="00265BF1"/>
    <w:rsid w:val="0026624B"/>
    <w:rsid w:val="00266A87"/>
    <w:rsid w:val="002673DE"/>
    <w:rsid w:val="002711BF"/>
    <w:rsid w:val="002712BF"/>
    <w:rsid w:val="00271E9F"/>
    <w:rsid w:val="00273004"/>
    <w:rsid w:val="00273696"/>
    <w:rsid w:val="002737C0"/>
    <w:rsid w:val="00273A5A"/>
    <w:rsid w:val="00273B24"/>
    <w:rsid w:val="002743E8"/>
    <w:rsid w:val="00274B50"/>
    <w:rsid w:val="002753FB"/>
    <w:rsid w:val="00275886"/>
    <w:rsid w:val="00276236"/>
    <w:rsid w:val="002762B0"/>
    <w:rsid w:val="0027671E"/>
    <w:rsid w:val="002768B5"/>
    <w:rsid w:val="002778DE"/>
    <w:rsid w:val="00277D9B"/>
    <w:rsid w:val="00280D6A"/>
    <w:rsid w:val="00281490"/>
    <w:rsid w:val="00281B9B"/>
    <w:rsid w:val="0028218B"/>
    <w:rsid w:val="00282C15"/>
    <w:rsid w:val="002830E3"/>
    <w:rsid w:val="00283507"/>
    <w:rsid w:val="00284B22"/>
    <w:rsid w:val="002850B6"/>
    <w:rsid w:val="0028562E"/>
    <w:rsid w:val="0028589A"/>
    <w:rsid w:val="0028620F"/>
    <w:rsid w:val="0028655D"/>
    <w:rsid w:val="00286CE4"/>
    <w:rsid w:val="00287D57"/>
    <w:rsid w:val="00290300"/>
    <w:rsid w:val="002910BF"/>
    <w:rsid w:val="002913CB"/>
    <w:rsid w:val="00291A5E"/>
    <w:rsid w:val="00292671"/>
    <w:rsid w:val="002929F6"/>
    <w:rsid w:val="00292CFF"/>
    <w:rsid w:val="00292DA5"/>
    <w:rsid w:val="00293B90"/>
    <w:rsid w:val="0029473E"/>
    <w:rsid w:val="00294BB5"/>
    <w:rsid w:val="00295730"/>
    <w:rsid w:val="00295831"/>
    <w:rsid w:val="0029600F"/>
    <w:rsid w:val="0029694B"/>
    <w:rsid w:val="00296EA3"/>
    <w:rsid w:val="002972BF"/>
    <w:rsid w:val="00297E7B"/>
    <w:rsid w:val="002A04A2"/>
    <w:rsid w:val="002A0C1E"/>
    <w:rsid w:val="002A14AC"/>
    <w:rsid w:val="002A230B"/>
    <w:rsid w:val="002A2F16"/>
    <w:rsid w:val="002A3A5B"/>
    <w:rsid w:val="002A4BBB"/>
    <w:rsid w:val="002A6815"/>
    <w:rsid w:val="002A6DD1"/>
    <w:rsid w:val="002A6E6F"/>
    <w:rsid w:val="002A7C53"/>
    <w:rsid w:val="002A7CCE"/>
    <w:rsid w:val="002A7D69"/>
    <w:rsid w:val="002A7E21"/>
    <w:rsid w:val="002B1AE3"/>
    <w:rsid w:val="002B1B33"/>
    <w:rsid w:val="002B22A4"/>
    <w:rsid w:val="002B2D24"/>
    <w:rsid w:val="002B315A"/>
    <w:rsid w:val="002B3708"/>
    <w:rsid w:val="002B37B5"/>
    <w:rsid w:val="002B3D5F"/>
    <w:rsid w:val="002B45D8"/>
    <w:rsid w:val="002B56F6"/>
    <w:rsid w:val="002B587C"/>
    <w:rsid w:val="002B5E83"/>
    <w:rsid w:val="002B61B4"/>
    <w:rsid w:val="002B6855"/>
    <w:rsid w:val="002B6A11"/>
    <w:rsid w:val="002B6EDE"/>
    <w:rsid w:val="002B7E2D"/>
    <w:rsid w:val="002C0212"/>
    <w:rsid w:val="002C09C1"/>
    <w:rsid w:val="002C1354"/>
    <w:rsid w:val="002C226E"/>
    <w:rsid w:val="002C29D3"/>
    <w:rsid w:val="002C34E5"/>
    <w:rsid w:val="002C4776"/>
    <w:rsid w:val="002C4F8E"/>
    <w:rsid w:val="002C4FB1"/>
    <w:rsid w:val="002C52C0"/>
    <w:rsid w:val="002C5AFD"/>
    <w:rsid w:val="002C5CA9"/>
    <w:rsid w:val="002C6590"/>
    <w:rsid w:val="002C75B3"/>
    <w:rsid w:val="002C7E7A"/>
    <w:rsid w:val="002D0102"/>
    <w:rsid w:val="002D2078"/>
    <w:rsid w:val="002D26B0"/>
    <w:rsid w:val="002D2A1E"/>
    <w:rsid w:val="002D3DF2"/>
    <w:rsid w:val="002D48B3"/>
    <w:rsid w:val="002D5670"/>
    <w:rsid w:val="002D6FF5"/>
    <w:rsid w:val="002D701F"/>
    <w:rsid w:val="002D7437"/>
    <w:rsid w:val="002D7902"/>
    <w:rsid w:val="002D796A"/>
    <w:rsid w:val="002D7983"/>
    <w:rsid w:val="002E02D9"/>
    <w:rsid w:val="002E0BC5"/>
    <w:rsid w:val="002E0CCB"/>
    <w:rsid w:val="002E0F2A"/>
    <w:rsid w:val="002E0FFF"/>
    <w:rsid w:val="002E1F07"/>
    <w:rsid w:val="002E2265"/>
    <w:rsid w:val="002E2828"/>
    <w:rsid w:val="002E5770"/>
    <w:rsid w:val="002E5A5D"/>
    <w:rsid w:val="002E62E4"/>
    <w:rsid w:val="002E6BB9"/>
    <w:rsid w:val="002E71EB"/>
    <w:rsid w:val="002E72F3"/>
    <w:rsid w:val="002E75D6"/>
    <w:rsid w:val="002E7812"/>
    <w:rsid w:val="002F0C5E"/>
    <w:rsid w:val="002F0D66"/>
    <w:rsid w:val="002F1234"/>
    <w:rsid w:val="002F16C6"/>
    <w:rsid w:val="002F1A53"/>
    <w:rsid w:val="002F1CC4"/>
    <w:rsid w:val="002F2002"/>
    <w:rsid w:val="002F26C6"/>
    <w:rsid w:val="002F2B13"/>
    <w:rsid w:val="002F2C63"/>
    <w:rsid w:val="002F2CA2"/>
    <w:rsid w:val="002F350A"/>
    <w:rsid w:val="002F3909"/>
    <w:rsid w:val="002F4063"/>
    <w:rsid w:val="002F41A1"/>
    <w:rsid w:val="002F4F56"/>
    <w:rsid w:val="002F5479"/>
    <w:rsid w:val="002F6049"/>
    <w:rsid w:val="002F6060"/>
    <w:rsid w:val="002F6360"/>
    <w:rsid w:val="002F6382"/>
    <w:rsid w:val="002F6AA3"/>
    <w:rsid w:val="002F771C"/>
    <w:rsid w:val="00300C34"/>
    <w:rsid w:val="00301147"/>
    <w:rsid w:val="00301433"/>
    <w:rsid w:val="003017E7"/>
    <w:rsid w:val="00301CC8"/>
    <w:rsid w:val="00302EA3"/>
    <w:rsid w:val="0030326D"/>
    <w:rsid w:val="003042F6"/>
    <w:rsid w:val="00304FA3"/>
    <w:rsid w:val="0030779D"/>
    <w:rsid w:val="00310533"/>
    <w:rsid w:val="0031279C"/>
    <w:rsid w:val="00312E1B"/>
    <w:rsid w:val="0031354B"/>
    <w:rsid w:val="00313ABB"/>
    <w:rsid w:val="00313F97"/>
    <w:rsid w:val="0031463C"/>
    <w:rsid w:val="00316326"/>
    <w:rsid w:val="00316C04"/>
    <w:rsid w:val="0032090D"/>
    <w:rsid w:val="00320D1F"/>
    <w:rsid w:val="00321598"/>
    <w:rsid w:val="0032171E"/>
    <w:rsid w:val="00322803"/>
    <w:rsid w:val="0032315F"/>
    <w:rsid w:val="0032338E"/>
    <w:rsid w:val="003238A5"/>
    <w:rsid w:val="003245A1"/>
    <w:rsid w:val="00324C80"/>
    <w:rsid w:val="00324F14"/>
    <w:rsid w:val="00325B10"/>
    <w:rsid w:val="00325E20"/>
    <w:rsid w:val="0032614B"/>
    <w:rsid w:val="0032674F"/>
    <w:rsid w:val="003321DD"/>
    <w:rsid w:val="00332453"/>
    <w:rsid w:val="003325FF"/>
    <w:rsid w:val="00332FD4"/>
    <w:rsid w:val="00333298"/>
    <w:rsid w:val="00333C41"/>
    <w:rsid w:val="00334080"/>
    <w:rsid w:val="0033427E"/>
    <w:rsid w:val="00334427"/>
    <w:rsid w:val="0033443F"/>
    <w:rsid w:val="00334DCE"/>
    <w:rsid w:val="0033554F"/>
    <w:rsid w:val="00336588"/>
    <w:rsid w:val="003365A0"/>
    <w:rsid w:val="00337490"/>
    <w:rsid w:val="00337ADF"/>
    <w:rsid w:val="00337D05"/>
    <w:rsid w:val="00341867"/>
    <w:rsid w:val="00341CA5"/>
    <w:rsid w:val="0034231F"/>
    <w:rsid w:val="00342751"/>
    <w:rsid w:val="00342B4E"/>
    <w:rsid w:val="00343197"/>
    <w:rsid w:val="00343C39"/>
    <w:rsid w:val="00343C59"/>
    <w:rsid w:val="003448AF"/>
    <w:rsid w:val="003473A4"/>
    <w:rsid w:val="00350607"/>
    <w:rsid w:val="00350CA4"/>
    <w:rsid w:val="00351970"/>
    <w:rsid w:val="00351D3D"/>
    <w:rsid w:val="00352D91"/>
    <w:rsid w:val="0035322D"/>
    <w:rsid w:val="003535F2"/>
    <w:rsid w:val="003536F0"/>
    <w:rsid w:val="00353A06"/>
    <w:rsid w:val="00354AE8"/>
    <w:rsid w:val="00354D1A"/>
    <w:rsid w:val="003564AD"/>
    <w:rsid w:val="00356642"/>
    <w:rsid w:val="003567F7"/>
    <w:rsid w:val="003570F4"/>
    <w:rsid w:val="00360104"/>
    <w:rsid w:val="003612D2"/>
    <w:rsid w:val="00361EC6"/>
    <w:rsid w:val="00362DAF"/>
    <w:rsid w:val="00363BD4"/>
    <w:rsid w:val="003641D9"/>
    <w:rsid w:val="003643B5"/>
    <w:rsid w:val="003649CD"/>
    <w:rsid w:val="003659A1"/>
    <w:rsid w:val="00366AEE"/>
    <w:rsid w:val="0036764F"/>
    <w:rsid w:val="00367F4C"/>
    <w:rsid w:val="00370007"/>
    <w:rsid w:val="00370CDA"/>
    <w:rsid w:val="00370EDD"/>
    <w:rsid w:val="00371CA9"/>
    <w:rsid w:val="00371D68"/>
    <w:rsid w:val="00371FBC"/>
    <w:rsid w:val="00372132"/>
    <w:rsid w:val="003725ED"/>
    <w:rsid w:val="0037290E"/>
    <w:rsid w:val="00373FDD"/>
    <w:rsid w:val="00374705"/>
    <w:rsid w:val="00374790"/>
    <w:rsid w:val="00375153"/>
    <w:rsid w:val="00375AB9"/>
    <w:rsid w:val="00376CC9"/>
    <w:rsid w:val="00376FED"/>
    <w:rsid w:val="003771BD"/>
    <w:rsid w:val="003772F1"/>
    <w:rsid w:val="00377872"/>
    <w:rsid w:val="0037791B"/>
    <w:rsid w:val="00380C99"/>
    <w:rsid w:val="00380CC7"/>
    <w:rsid w:val="003819A4"/>
    <w:rsid w:val="00381DF0"/>
    <w:rsid w:val="0038264D"/>
    <w:rsid w:val="003830DA"/>
    <w:rsid w:val="00383264"/>
    <w:rsid w:val="00383349"/>
    <w:rsid w:val="00383637"/>
    <w:rsid w:val="00383E18"/>
    <w:rsid w:val="00383FAA"/>
    <w:rsid w:val="003844AA"/>
    <w:rsid w:val="0038497A"/>
    <w:rsid w:val="00385260"/>
    <w:rsid w:val="003867D3"/>
    <w:rsid w:val="0038748E"/>
    <w:rsid w:val="003878C0"/>
    <w:rsid w:val="00387D6C"/>
    <w:rsid w:val="003908A2"/>
    <w:rsid w:val="0039143A"/>
    <w:rsid w:val="003914A2"/>
    <w:rsid w:val="00391D40"/>
    <w:rsid w:val="003922E7"/>
    <w:rsid w:val="0039252B"/>
    <w:rsid w:val="0039271A"/>
    <w:rsid w:val="00392AA9"/>
    <w:rsid w:val="00392F5A"/>
    <w:rsid w:val="00394049"/>
    <w:rsid w:val="0039529D"/>
    <w:rsid w:val="00395363"/>
    <w:rsid w:val="00395BD4"/>
    <w:rsid w:val="0039647F"/>
    <w:rsid w:val="0039778C"/>
    <w:rsid w:val="00397C58"/>
    <w:rsid w:val="00397CBE"/>
    <w:rsid w:val="003A0162"/>
    <w:rsid w:val="003A0239"/>
    <w:rsid w:val="003A22FB"/>
    <w:rsid w:val="003A2F4E"/>
    <w:rsid w:val="003A33F4"/>
    <w:rsid w:val="003A3A00"/>
    <w:rsid w:val="003A3C1E"/>
    <w:rsid w:val="003A48AE"/>
    <w:rsid w:val="003A4D78"/>
    <w:rsid w:val="003A5245"/>
    <w:rsid w:val="003A556C"/>
    <w:rsid w:val="003A59F3"/>
    <w:rsid w:val="003A6180"/>
    <w:rsid w:val="003A687D"/>
    <w:rsid w:val="003A6EBF"/>
    <w:rsid w:val="003A7561"/>
    <w:rsid w:val="003A7B18"/>
    <w:rsid w:val="003B0132"/>
    <w:rsid w:val="003B07AF"/>
    <w:rsid w:val="003B0CA6"/>
    <w:rsid w:val="003B0D0E"/>
    <w:rsid w:val="003B13F9"/>
    <w:rsid w:val="003B16EC"/>
    <w:rsid w:val="003B203E"/>
    <w:rsid w:val="003B2751"/>
    <w:rsid w:val="003B2B36"/>
    <w:rsid w:val="003B3243"/>
    <w:rsid w:val="003B374B"/>
    <w:rsid w:val="003B376C"/>
    <w:rsid w:val="003B3AFC"/>
    <w:rsid w:val="003B3D8F"/>
    <w:rsid w:val="003B4323"/>
    <w:rsid w:val="003B499C"/>
    <w:rsid w:val="003B52CF"/>
    <w:rsid w:val="003B5CF0"/>
    <w:rsid w:val="003B5F3F"/>
    <w:rsid w:val="003B63AB"/>
    <w:rsid w:val="003B68EC"/>
    <w:rsid w:val="003C0695"/>
    <w:rsid w:val="003C1B2A"/>
    <w:rsid w:val="003C3972"/>
    <w:rsid w:val="003C3D28"/>
    <w:rsid w:val="003C3FC6"/>
    <w:rsid w:val="003C4357"/>
    <w:rsid w:val="003C4476"/>
    <w:rsid w:val="003C482D"/>
    <w:rsid w:val="003C51F6"/>
    <w:rsid w:val="003C756E"/>
    <w:rsid w:val="003C75F7"/>
    <w:rsid w:val="003D03F5"/>
    <w:rsid w:val="003D0652"/>
    <w:rsid w:val="003D0EBF"/>
    <w:rsid w:val="003D111A"/>
    <w:rsid w:val="003D1BB3"/>
    <w:rsid w:val="003D1DF0"/>
    <w:rsid w:val="003D1FBA"/>
    <w:rsid w:val="003D2570"/>
    <w:rsid w:val="003D26B3"/>
    <w:rsid w:val="003D2717"/>
    <w:rsid w:val="003D32E0"/>
    <w:rsid w:val="003D35A9"/>
    <w:rsid w:val="003D3C77"/>
    <w:rsid w:val="003D47B0"/>
    <w:rsid w:val="003D4810"/>
    <w:rsid w:val="003D552D"/>
    <w:rsid w:val="003D6A34"/>
    <w:rsid w:val="003D7132"/>
    <w:rsid w:val="003D7773"/>
    <w:rsid w:val="003D7C6C"/>
    <w:rsid w:val="003E0302"/>
    <w:rsid w:val="003E063A"/>
    <w:rsid w:val="003E0B93"/>
    <w:rsid w:val="003E121D"/>
    <w:rsid w:val="003E1320"/>
    <w:rsid w:val="003E1D42"/>
    <w:rsid w:val="003E390B"/>
    <w:rsid w:val="003E404D"/>
    <w:rsid w:val="003E412B"/>
    <w:rsid w:val="003E49D9"/>
    <w:rsid w:val="003E6112"/>
    <w:rsid w:val="003E6149"/>
    <w:rsid w:val="003E63A5"/>
    <w:rsid w:val="003E6599"/>
    <w:rsid w:val="003E6704"/>
    <w:rsid w:val="003E6E19"/>
    <w:rsid w:val="003E7427"/>
    <w:rsid w:val="003E7537"/>
    <w:rsid w:val="003E7981"/>
    <w:rsid w:val="003F0F3E"/>
    <w:rsid w:val="003F25DB"/>
    <w:rsid w:val="003F29B3"/>
    <w:rsid w:val="003F29D0"/>
    <w:rsid w:val="003F3F24"/>
    <w:rsid w:val="003F48AE"/>
    <w:rsid w:val="003F4A55"/>
    <w:rsid w:val="003F5230"/>
    <w:rsid w:val="003F5372"/>
    <w:rsid w:val="003F55EB"/>
    <w:rsid w:val="003F5B14"/>
    <w:rsid w:val="003F6231"/>
    <w:rsid w:val="003F664E"/>
    <w:rsid w:val="003F66A2"/>
    <w:rsid w:val="003F69B9"/>
    <w:rsid w:val="003F6DE7"/>
    <w:rsid w:val="003F6DFC"/>
    <w:rsid w:val="003F6FB9"/>
    <w:rsid w:val="003F7331"/>
    <w:rsid w:val="003F7E38"/>
    <w:rsid w:val="003F7F1C"/>
    <w:rsid w:val="00400071"/>
    <w:rsid w:val="0040023C"/>
    <w:rsid w:val="00400DDA"/>
    <w:rsid w:val="00401686"/>
    <w:rsid w:val="0040266E"/>
    <w:rsid w:val="00402A53"/>
    <w:rsid w:val="00402D93"/>
    <w:rsid w:val="00402E78"/>
    <w:rsid w:val="00404673"/>
    <w:rsid w:val="004048F7"/>
    <w:rsid w:val="004052EF"/>
    <w:rsid w:val="00406A1F"/>
    <w:rsid w:val="00406FA4"/>
    <w:rsid w:val="00407732"/>
    <w:rsid w:val="00407FAA"/>
    <w:rsid w:val="004100CA"/>
    <w:rsid w:val="00410400"/>
    <w:rsid w:val="0041100B"/>
    <w:rsid w:val="004110A8"/>
    <w:rsid w:val="004116D9"/>
    <w:rsid w:val="0041268E"/>
    <w:rsid w:val="00412A28"/>
    <w:rsid w:val="0041306B"/>
    <w:rsid w:val="00413440"/>
    <w:rsid w:val="004144F2"/>
    <w:rsid w:val="004156FF"/>
    <w:rsid w:val="00415D08"/>
    <w:rsid w:val="00416ADC"/>
    <w:rsid w:val="00417C34"/>
    <w:rsid w:val="00417D7E"/>
    <w:rsid w:val="00420731"/>
    <w:rsid w:val="00420A91"/>
    <w:rsid w:val="0042130B"/>
    <w:rsid w:val="004218E1"/>
    <w:rsid w:val="00422042"/>
    <w:rsid w:val="00422D1C"/>
    <w:rsid w:val="00424484"/>
    <w:rsid w:val="004245EE"/>
    <w:rsid w:val="00425674"/>
    <w:rsid w:val="00425B50"/>
    <w:rsid w:val="00426D4D"/>
    <w:rsid w:val="00427159"/>
    <w:rsid w:val="00427269"/>
    <w:rsid w:val="0043014F"/>
    <w:rsid w:val="00431C6F"/>
    <w:rsid w:val="00432403"/>
    <w:rsid w:val="004326A2"/>
    <w:rsid w:val="0043274D"/>
    <w:rsid w:val="004331A4"/>
    <w:rsid w:val="00433D7E"/>
    <w:rsid w:val="00434077"/>
    <w:rsid w:val="004340FD"/>
    <w:rsid w:val="00434F4E"/>
    <w:rsid w:val="00434F95"/>
    <w:rsid w:val="004355FA"/>
    <w:rsid w:val="004356E1"/>
    <w:rsid w:val="00435758"/>
    <w:rsid w:val="00435BF6"/>
    <w:rsid w:val="00435D85"/>
    <w:rsid w:val="004363A9"/>
    <w:rsid w:val="00436700"/>
    <w:rsid w:val="0043681B"/>
    <w:rsid w:val="00436E7E"/>
    <w:rsid w:val="00437079"/>
    <w:rsid w:val="004401E1"/>
    <w:rsid w:val="00440C2E"/>
    <w:rsid w:val="004410E0"/>
    <w:rsid w:val="004418A6"/>
    <w:rsid w:val="00441C26"/>
    <w:rsid w:val="00442A1F"/>
    <w:rsid w:val="0044328A"/>
    <w:rsid w:val="00443E09"/>
    <w:rsid w:val="00444625"/>
    <w:rsid w:val="004448D3"/>
    <w:rsid w:val="0044637A"/>
    <w:rsid w:val="00446F60"/>
    <w:rsid w:val="004476D3"/>
    <w:rsid w:val="00447B52"/>
    <w:rsid w:val="004501F9"/>
    <w:rsid w:val="00450D3B"/>
    <w:rsid w:val="00451BD9"/>
    <w:rsid w:val="00453AF3"/>
    <w:rsid w:val="00453B76"/>
    <w:rsid w:val="00453C62"/>
    <w:rsid w:val="00453D3F"/>
    <w:rsid w:val="00453FD0"/>
    <w:rsid w:val="00454327"/>
    <w:rsid w:val="0045481B"/>
    <w:rsid w:val="00454ED1"/>
    <w:rsid w:val="00455019"/>
    <w:rsid w:val="00455E81"/>
    <w:rsid w:val="00455FFF"/>
    <w:rsid w:val="004561CE"/>
    <w:rsid w:val="004561D2"/>
    <w:rsid w:val="00456B27"/>
    <w:rsid w:val="0046044A"/>
    <w:rsid w:val="0046079A"/>
    <w:rsid w:val="00462002"/>
    <w:rsid w:val="004621DE"/>
    <w:rsid w:val="004639EB"/>
    <w:rsid w:val="00463CFE"/>
    <w:rsid w:val="00464284"/>
    <w:rsid w:val="004648CE"/>
    <w:rsid w:val="00464A7D"/>
    <w:rsid w:val="004652AC"/>
    <w:rsid w:val="0046584E"/>
    <w:rsid w:val="0046667C"/>
    <w:rsid w:val="00466C40"/>
    <w:rsid w:val="00466D4D"/>
    <w:rsid w:val="004675D0"/>
    <w:rsid w:val="00472096"/>
    <w:rsid w:val="00472EA5"/>
    <w:rsid w:val="00473244"/>
    <w:rsid w:val="004759A8"/>
    <w:rsid w:val="00475F3B"/>
    <w:rsid w:val="00475F9F"/>
    <w:rsid w:val="004760C7"/>
    <w:rsid w:val="00476DF2"/>
    <w:rsid w:val="00476EBD"/>
    <w:rsid w:val="004770B8"/>
    <w:rsid w:val="00477165"/>
    <w:rsid w:val="004774FD"/>
    <w:rsid w:val="0047794F"/>
    <w:rsid w:val="00480320"/>
    <w:rsid w:val="004803DB"/>
    <w:rsid w:val="00480FEA"/>
    <w:rsid w:val="0048119E"/>
    <w:rsid w:val="004817C8"/>
    <w:rsid w:val="0048235F"/>
    <w:rsid w:val="00482C42"/>
    <w:rsid w:val="004833D5"/>
    <w:rsid w:val="00485CF9"/>
    <w:rsid w:val="00485F71"/>
    <w:rsid w:val="0048651B"/>
    <w:rsid w:val="0048714F"/>
    <w:rsid w:val="00487812"/>
    <w:rsid w:val="00487B7A"/>
    <w:rsid w:val="00490391"/>
    <w:rsid w:val="00491216"/>
    <w:rsid w:val="004915F5"/>
    <w:rsid w:val="004916EF"/>
    <w:rsid w:val="00492641"/>
    <w:rsid w:val="004927C5"/>
    <w:rsid w:val="004931FF"/>
    <w:rsid w:val="00493688"/>
    <w:rsid w:val="00493841"/>
    <w:rsid w:val="00493971"/>
    <w:rsid w:val="00493B0B"/>
    <w:rsid w:val="00493FC6"/>
    <w:rsid w:val="004943E1"/>
    <w:rsid w:val="00494F5F"/>
    <w:rsid w:val="004955A3"/>
    <w:rsid w:val="004956B1"/>
    <w:rsid w:val="00495B77"/>
    <w:rsid w:val="00495F24"/>
    <w:rsid w:val="00496263"/>
    <w:rsid w:val="00496318"/>
    <w:rsid w:val="004A0042"/>
    <w:rsid w:val="004A0FD9"/>
    <w:rsid w:val="004A1466"/>
    <w:rsid w:val="004A1D3A"/>
    <w:rsid w:val="004A1F7C"/>
    <w:rsid w:val="004A20D6"/>
    <w:rsid w:val="004A39EE"/>
    <w:rsid w:val="004A4218"/>
    <w:rsid w:val="004A4EF1"/>
    <w:rsid w:val="004A4F43"/>
    <w:rsid w:val="004A58D2"/>
    <w:rsid w:val="004A6ADE"/>
    <w:rsid w:val="004A6C86"/>
    <w:rsid w:val="004A7238"/>
    <w:rsid w:val="004A756F"/>
    <w:rsid w:val="004B0670"/>
    <w:rsid w:val="004B0811"/>
    <w:rsid w:val="004B0985"/>
    <w:rsid w:val="004B0A21"/>
    <w:rsid w:val="004B1532"/>
    <w:rsid w:val="004B2C29"/>
    <w:rsid w:val="004B31A6"/>
    <w:rsid w:val="004B33DB"/>
    <w:rsid w:val="004B34FF"/>
    <w:rsid w:val="004B40E1"/>
    <w:rsid w:val="004B4124"/>
    <w:rsid w:val="004B4C9F"/>
    <w:rsid w:val="004B52B1"/>
    <w:rsid w:val="004B5D62"/>
    <w:rsid w:val="004B7077"/>
    <w:rsid w:val="004B718E"/>
    <w:rsid w:val="004B74F5"/>
    <w:rsid w:val="004B7597"/>
    <w:rsid w:val="004B7D93"/>
    <w:rsid w:val="004C021A"/>
    <w:rsid w:val="004C02D9"/>
    <w:rsid w:val="004C03BF"/>
    <w:rsid w:val="004C0E0D"/>
    <w:rsid w:val="004C0E8F"/>
    <w:rsid w:val="004C0EB8"/>
    <w:rsid w:val="004C0FAE"/>
    <w:rsid w:val="004C1D51"/>
    <w:rsid w:val="004C3332"/>
    <w:rsid w:val="004C3753"/>
    <w:rsid w:val="004C4653"/>
    <w:rsid w:val="004C5BBE"/>
    <w:rsid w:val="004C5D86"/>
    <w:rsid w:val="004C6003"/>
    <w:rsid w:val="004C6B45"/>
    <w:rsid w:val="004C72FA"/>
    <w:rsid w:val="004C7E1B"/>
    <w:rsid w:val="004C7F00"/>
    <w:rsid w:val="004D015A"/>
    <w:rsid w:val="004D0D10"/>
    <w:rsid w:val="004D0EEB"/>
    <w:rsid w:val="004D1246"/>
    <w:rsid w:val="004D1B2B"/>
    <w:rsid w:val="004D2518"/>
    <w:rsid w:val="004D4060"/>
    <w:rsid w:val="004D4FC6"/>
    <w:rsid w:val="004D563B"/>
    <w:rsid w:val="004D5B27"/>
    <w:rsid w:val="004D6997"/>
    <w:rsid w:val="004D7FE7"/>
    <w:rsid w:val="004E0525"/>
    <w:rsid w:val="004E14F9"/>
    <w:rsid w:val="004E17AD"/>
    <w:rsid w:val="004E3AAE"/>
    <w:rsid w:val="004E42A0"/>
    <w:rsid w:val="004E42E4"/>
    <w:rsid w:val="004E5439"/>
    <w:rsid w:val="004E5562"/>
    <w:rsid w:val="004E635F"/>
    <w:rsid w:val="004E760C"/>
    <w:rsid w:val="004E7786"/>
    <w:rsid w:val="004F0112"/>
    <w:rsid w:val="004F220F"/>
    <w:rsid w:val="004F255D"/>
    <w:rsid w:val="004F3590"/>
    <w:rsid w:val="004F3ECF"/>
    <w:rsid w:val="004F40D8"/>
    <w:rsid w:val="004F4D34"/>
    <w:rsid w:val="004F5106"/>
    <w:rsid w:val="004F586C"/>
    <w:rsid w:val="004F6359"/>
    <w:rsid w:val="004F70AD"/>
    <w:rsid w:val="004F7C83"/>
    <w:rsid w:val="00500522"/>
    <w:rsid w:val="00501163"/>
    <w:rsid w:val="0050210D"/>
    <w:rsid w:val="00502161"/>
    <w:rsid w:val="00502995"/>
    <w:rsid w:val="0050361A"/>
    <w:rsid w:val="00503836"/>
    <w:rsid w:val="00505452"/>
    <w:rsid w:val="00505809"/>
    <w:rsid w:val="0050651F"/>
    <w:rsid w:val="00506A3E"/>
    <w:rsid w:val="005075A3"/>
    <w:rsid w:val="00510AA4"/>
    <w:rsid w:val="00510BA6"/>
    <w:rsid w:val="00512C39"/>
    <w:rsid w:val="00512CBA"/>
    <w:rsid w:val="00514427"/>
    <w:rsid w:val="005144DE"/>
    <w:rsid w:val="00515608"/>
    <w:rsid w:val="00515B18"/>
    <w:rsid w:val="0051647A"/>
    <w:rsid w:val="00517737"/>
    <w:rsid w:val="00517FBB"/>
    <w:rsid w:val="005204AD"/>
    <w:rsid w:val="00520BDF"/>
    <w:rsid w:val="0052168B"/>
    <w:rsid w:val="00521EFB"/>
    <w:rsid w:val="005220ED"/>
    <w:rsid w:val="0052304A"/>
    <w:rsid w:val="005237F5"/>
    <w:rsid w:val="00524A5C"/>
    <w:rsid w:val="00524C27"/>
    <w:rsid w:val="0052550D"/>
    <w:rsid w:val="00525B05"/>
    <w:rsid w:val="00526A82"/>
    <w:rsid w:val="00526AD1"/>
    <w:rsid w:val="00526C27"/>
    <w:rsid w:val="00527757"/>
    <w:rsid w:val="00527AA0"/>
    <w:rsid w:val="005301CA"/>
    <w:rsid w:val="00530208"/>
    <w:rsid w:val="00530C6F"/>
    <w:rsid w:val="00530CC2"/>
    <w:rsid w:val="005311E2"/>
    <w:rsid w:val="005317CB"/>
    <w:rsid w:val="005319EA"/>
    <w:rsid w:val="00532888"/>
    <w:rsid w:val="00532A55"/>
    <w:rsid w:val="005338FC"/>
    <w:rsid w:val="00533D22"/>
    <w:rsid w:val="00535698"/>
    <w:rsid w:val="00535EB6"/>
    <w:rsid w:val="00536C22"/>
    <w:rsid w:val="00536C29"/>
    <w:rsid w:val="00536CCA"/>
    <w:rsid w:val="00536CD5"/>
    <w:rsid w:val="005408DC"/>
    <w:rsid w:val="00540AE0"/>
    <w:rsid w:val="00540CF2"/>
    <w:rsid w:val="0054129A"/>
    <w:rsid w:val="00541527"/>
    <w:rsid w:val="0054157B"/>
    <w:rsid w:val="0054192E"/>
    <w:rsid w:val="00541936"/>
    <w:rsid w:val="00542232"/>
    <w:rsid w:val="00542C46"/>
    <w:rsid w:val="00542C60"/>
    <w:rsid w:val="00543075"/>
    <w:rsid w:val="00543E42"/>
    <w:rsid w:val="00544043"/>
    <w:rsid w:val="00544945"/>
    <w:rsid w:val="00544A26"/>
    <w:rsid w:val="00545E65"/>
    <w:rsid w:val="00545E8A"/>
    <w:rsid w:val="005477DD"/>
    <w:rsid w:val="00547C82"/>
    <w:rsid w:val="00551792"/>
    <w:rsid w:val="005522C3"/>
    <w:rsid w:val="00553516"/>
    <w:rsid w:val="00553D3C"/>
    <w:rsid w:val="0055417D"/>
    <w:rsid w:val="005551A7"/>
    <w:rsid w:val="005553C3"/>
    <w:rsid w:val="0055566F"/>
    <w:rsid w:val="00555C80"/>
    <w:rsid w:val="00557471"/>
    <w:rsid w:val="00560054"/>
    <w:rsid w:val="00560914"/>
    <w:rsid w:val="0056096E"/>
    <w:rsid w:val="00560A67"/>
    <w:rsid w:val="00560B77"/>
    <w:rsid w:val="00561011"/>
    <w:rsid w:val="00561768"/>
    <w:rsid w:val="0056192E"/>
    <w:rsid w:val="005619C4"/>
    <w:rsid w:val="0056238E"/>
    <w:rsid w:val="00562664"/>
    <w:rsid w:val="005632DA"/>
    <w:rsid w:val="00563EB5"/>
    <w:rsid w:val="00564279"/>
    <w:rsid w:val="00564964"/>
    <w:rsid w:val="00565C3D"/>
    <w:rsid w:val="00565F2A"/>
    <w:rsid w:val="005664E8"/>
    <w:rsid w:val="00566507"/>
    <w:rsid w:val="00566FA2"/>
    <w:rsid w:val="0056755B"/>
    <w:rsid w:val="00567F0B"/>
    <w:rsid w:val="00570582"/>
    <w:rsid w:val="00570689"/>
    <w:rsid w:val="00571664"/>
    <w:rsid w:val="0057220D"/>
    <w:rsid w:val="00572AC5"/>
    <w:rsid w:val="0057336C"/>
    <w:rsid w:val="0057399C"/>
    <w:rsid w:val="00573F44"/>
    <w:rsid w:val="00574A24"/>
    <w:rsid w:val="00575640"/>
    <w:rsid w:val="00575EAD"/>
    <w:rsid w:val="0057608C"/>
    <w:rsid w:val="00576CE3"/>
    <w:rsid w:val="0058128F"/>
    <w:rsid w:val="00581386"/>
    <w:rsid w:val="005813CF"/>
    <w:rsid w:val="00581FBE"/>
    <w:rsid w:val="00582077"/>
    <w:rsid w:val="00582D0D"/>
    <w:rsid w:val="00582ECA"/>
    <w:rsid w:val="0058326A"/>
    <w:rsid w:val="005842DF"/>
    <w:rsid w:val="0058486A"/>
    <w:rsid w:val="00585AC4"/>
    <w:rsid w:val="00585DCF"/>
    <w:rsid w:val="0058669A"/>
    <w:rsid w:val="0058707A"/>
    <w:rsid w:val="005871E1"/>
    <w:rsid w:val="00590737"/>
    <w:rsid w:val="00590C30"/>
    <w:rsid w:val="005912AD"/>
    <w:rsid w:val="00591559"/>
    <w:rsid w:val="00591990"/>
    <w:rsid w:val="0059260A"/>
    <w:rsid w:val="00592836"/>
    <w:rsid w:val="00592C6D"/>
    <w:rsid w:val="00592E84"/>
    <w:rsid w:val="00594802"/>
    <w:rsid w:val="00594E7F"/>
    <w:rsid w:val="00595969"/>
    <w:rsid w:val="00595EBC"/>
    <w:rsid w:val="0059610C"/>
    <w:rsid w:val="00596284"/>
    <w:rsid w:val="0059649C"/>
    <w:rsid w:val="00596576"/>
    <w:rsid w:val="00596A50"/>
    <w:rsid w:val="00596B2E"/>
    <w:rsid w:val="00596DAE"/>
    <w:rsid w:val="00597CA9"/>
    <w:rsid w:val="005A04DE"/>
    <w:rsid w:val="005A0ED6"/>
    <w:rsid w:val="005A150D"/>
    <w:rsid w:val="005A1664"/>
    <w:rsid w:val="005A17B0"/>
    <w:rsid w:val="005A1BEB"/>
    <w:rsid w:val="005A1C33"/>
    <w:rsid w:val="005A1CFB"/>
    <w:rsid w:val="005A2205"/>
    <w:rsid w:val="005A2A50"/>
    <w:rsid w:val="005A30A1"/>
    <w:rsid w:val="005A3D83"/>
    <w:rsid w:val="005A430D"/>
    <w:rsid w:val="005A5D55"/>
    <w:rsid w:val="005A6333"/>
    <w:rsid w:val="005A6872"/>
    <w:rsid w:val="005A7507"/>
    <w:rsid w:val="005A754A"/>
    <w:rsid w:val="005B018F"/>
    <w:rsid w:val="005B068D"/>
    <w:rsid w:val="005B1F75"/>
    <w:rsid w:val="005B2048"/>
    <w:rsid w:val="005B21B0"/>
    <w:rsid w:val="005B2369"/>
    <w:rsid w:val="005B477A"/>
    <w:rsid w:val="005B591A"/>
    <w:rsid w:val="005B5E0B"/>
    <w:rsid w:val="005B6377"/>
    <w:rsid w:val="005B6532"/>
    <w:rsid w:val="005B655E"/>
    <w:rsid w:val="005B6560"/>
    <w:rsid w:val="005B71BB"/>
    <w:rsid w:val="005C0D72"/>
    <w:rsid w:val="005C114F"/>
    <w:rsid w:val="005C16BA"/>
    <w:rsid w:val="005C1C63"/>
    <w:rsid w:val="005C2236"/>
    <w:rsid w:val="005C2A80"/>
    <w:rsid w:val="005C2B23"/>
    <w:rsid w:val="005C3262"/>
    <w:rsid w:val="005C32A8"/>
    <w:rsid w:val="005C3738"/>
    <w:rsid w:val="005C3E80"/>
    <w:rsid w:val="005C4179"/>
    <w:rsid w:val="005C4B48"/>
    <w:rsid w:val="005C50A5"/>
    <w:rsid w:val="005C60B5"/>
    <w:rsid w:val="005C61F0"/>
    <w:rsid w:val="005C68D8"/>
    <w:rsid w:val="005C6D5B"/>
    <w:rsid w:val="005C718B"/>
    <w:rsid w:val="005C7278"/>
    <w:rsid w:val="005D023B"/>
    <w:rsid w:val="005D0624"/>
    <w:rsid w:val="005D092A"/>
    <w:rsid w:val="005D0E16"/>
    <w:rsid w:val="005D0E69"/>
    <w:rsid w:val="005D16CC"/>
    <w:rsid w:val="005D16E1"/>
    <w:rsid w:val="005D1FCC"/>
    <w:rsid w:val="005D34C6"/>
    <w:rsid w:val="005D3835"/>
    <w:rsid w:val="005D582E"/>
    <w:rsid w:val="005D58F3"/>
    <w:rsid w:val="005D5A9C"/>
    <w:rsid w:val="005D5B1F"/>
    <w:rsid w:val="005D6616"/>
    <w:rsid w:val="005D6A68"/>
    <w:rsid w:val="005D6F17"/>
    <w:rsid w:val="005D7520"/>
    <w:rsid w:val="005D776C"/>
    <w:rsid w:val="005D7CB6"/>
    <w:rsid w:val="005E04B7"/>
    <w:rsid w:val="005E123F"/>
    <w:rsid w:val="005E2728"/>
    <w:rsid w:val="005E2F2F"/>
    <w:rsid w:val="005E42B0"/>
    <w:rsid w:val="005E4424"/>
    <w:rsid w:val="005E45A1"/>
    <w:rsid w:val="005E479B"/>
    <w:rsid w:val="005E4873"/>
    <w:rsid w:val="005E4AB1"/>
    <w:rsid w:val="005E4AE2"/>
    <w:rsid w:val="005E5AEE"/>
    <w:rsid w:val="005E6173"/>
    <w:rsid w:val="005E6335"/>
    <w:rsid w:val="005E6BD6"/>
    <w:rsid w:val="005E7218"/>
    <w:rsid w:val="005E7558"/>
    <w:rsid w:val="005F06C0"/>
    <w:rsid w:val="005F0DC2"/>
    <w:rsid w:val="005F189A"/>
    <w:rsid w:val="005F18E9"/>
    <w:rsid w:val="005F2F94"/>
    <w:rsid w:val="005F39F2"/>
    <w:rsid w:val="005F4C61"/>
    <w:rsid w:val="005F6F3A"/>
    <w:rsid w:val="005F7920"/>
    <w:rsid w:val="005F7A58"/>
    <w:rsid w:val="005F7B95"/>
    <w:rsid w:val="00600C76"/>
    <w:rsid w:val="0060168C"/>
    <w:rsid w:val="00602768"/>
    <w:rsid w:val="00603E71"/>
    <w:rsid w:val="0060433D"/>
    <w:rsid w:val="00604582"/>
    <w:rsid w:val="006047F6"/>
    <w:rsid w:val="006052A5"/>
    <w:rsid w:val="00605C72"/>
    <w:rsid w:val="00606654"/>
    <w:rsid w:val="00606745"/>
    <w:rsid w:val="00606A78"/>
    <w:rsid w:val="00606E32"/>
    <w:rsid w:val="00607F94"/>
    <w:rsid w:val="006103DD"/>
    <w:rsid w:val="00610855"/>
    <w:rsid w:val="006108DF"/>
    <w:rsid w:val="00611393"/>
    <w:rsid w:val="006119FD"/>
    <w:rsid w:val="00611A59"/>
    <w:rsid w:val="00611AE1"/>
    <w:rsid w:val="0061225E"/>
    <w:rsid w:val="006123B1"/>
    <w:rsid w:val="00612AEC"/>
    <w:rsid w:val="00612C5E"/>
    <w:rsid w:val="00613CAF"/>
    <w:rsid w:val="00613FC0"/>
    <w:rsid w:val="0061429B"/>
    <w:rsid w:val="00614428"/>
    <w:rsid w:val="006153E8"/>
    <w:rsid w:val="006153F8"/>
    <w:rsid w:val="006161C2"/>
    <w:rsid w:val="006165DB"/>
    <w:rsid w:val="00616F99"/>
    <w:rsid w:val="00620522"/>
    <w:rsid w:val="00621447"/>
    <w:rsid w:val="006234B7"/>
    <w:rsid w:val="006235A1"/>
    <w:rsid w:val="00624734"/>
    <w:rsid w:val="006251DE"/>
    <w:rsid w:val="0062536B"/>
    <w:rsid w:val="006262C1"/>
    <w:rsid w:val="006264C5"/>
    <w:rsid w:val="006264CB"/>
    <w:rsid w:val="00626A6F"/>
    <w:rsid w:val="00627240"/>
    <w:rsid w:val="006300A9"/>
    <w:rsid w:val="00630DB8"/>
    <w:rsid w:val="0063105D"/>
    <w:rsid w:val="006311B7"/>
    <w:rsid w:val="0063127A"/>
    <w:rsid w:val="006314D7"/>
    <w:rsid w:val="006319C8"/>
    <w:rsid w:val="00631B9C"/>
    <w:rsid w:val="00632914"/>
    <w:rsid w:val="00633D15"/>
    <w:rsid w:val="006346D8"/>
    <w:rsid w:val="006349EC"/>
    <w:rsid w:val="00637259"/>
    <w:rsid w:val="00637B9A"/>
    <w:rsid w:val="00637C1F"/>
    <w:rsid w:val="00640213"/>
    <w:rsid w:val="0064064A"/>
    <w:rsid w:val="00641AFA"/>
    <w:rsid w:val="00643A2A"/>
    <w:rsid w:val="00643B2C"/>
    <w:rsid w:val="00643D04"/>
    <w:rsid w:val="00643EC8"/>
    <w:rsid w:val="00643FC1"/>
    <w:rsid w:val="00644527"/>
    <w:rsid w:val="00644916"/>
    <w:rsid w:val="00644C60"/>
    <w:rsid w:val="00644EDD"/>
    <w:rsid w:val="00645528"/>
    <w:rsid w:val="006457D1"/>
    <w:rsid w:val="00645D91"/>
    <w:rsid w:val="00646065"/>
    <w:rsid w:val="00646394"/>
    <w:rsid w:val="0064647B"/>
    <w:rsid w:val="006467F2"/>
    <w:rsid w:val="00646E80"/>
    <w:rsid w:val="006479AC"/>
    <w:rsid w:val="006500E9"/>
    <w:rsid w:val="00650CAA"/>
    <w:rsid w:val="006513F9"/>
    <w:rsid w:val="0065163F"/>
    <w:rsid w:val="00651DE1"/>
    <w:rsid w:val="00651E24"/>
    <w:rsid w:val="00651F27"/>
    <w:rsid w:val="006520C1"/>
    <w:rsid w:val="0065283F"/>
    <w:rsid w:val="00652D81"/>
    <w:rsid w:val="00652E3C"/>
    <w:rsid w:val="00653BB8"/>
    <w:rsid w:val="00653D09"/>
    <w:rsid w:val="00654939"/>
    <w:rsid w:val="00655FC0"/>
    <w:rsid w:val="006571DF"/>
    <w:rsid w:val="00657242"/>
    <w:rsid w:val="006577E7"/>
    <w:rsid w:val="006608A7"/>
    <w:rsid w:val="006614C2"/>
    <w:rsid w:val="0066190A"/>
    <w:rsid w:val="00661BC9"/>
    <w:rsid w:val="00661C97"/>
    <w:rsid w:val="00662242"/>
    <w:rsid w:val="0066224D"/>
    <w:rsid w:val="00662727"/>
    <w:rsid w:val="00662C72"/>
    <w:rsid w:val="00662E85"/>
    <w:rsid w:val="006633A4"/>
    <w:rsid w:val="0066351D"/>
    <w:rsid w:val="006648B4"/>
    <w:rsid w:val="00664CA6"/>
    <w:rsid w:val="006655C8"/>
    <w:rsid w:val="006661E3"/>
    <w:rsid w:val="0066770E"/>
    <w:rsid w:val="00667835"/>
    <w:rsid w:val="00667F19"/>
    <w:rsid w:val="00667F94"/>
    <w:rsid w:val="006715C9"/>
    <w:rsid w:val="00671CDC"/>
    <w:rsid w:val="006727E4"/>
    <w:rsid w:val="00673771"/>
    <w:rsid w:val="006737DC"/>
    <w:rsid w:val="006745E2"/>
    <w:rsid w:val="00674635"/>
    <w:rsid w:val="006749C8"/>
    <w:rsid w:val="0067516E"/>
    <w:rsid w:val="00676A69"/>
    <w:rsid w:val="00676A76"/>
    <w:rsid w:val="00676CCB"/>
    <w:rsid w:val="00677773"/>
    <w:rsid w:val="006809E4"/>
    <w:rsid w:val="00680D39"/>
    <w:rsid w:val="00680EAE"/>
    <w:rsid w:val="0068128C"/>
    <w:rsid w:val="006818DA"/>
    <w:rsid w:val="00681EB9"/>
    <w:rsid w:val="006820DB"/>
    <w:rsid w:val="00683080"/>
    <w:rsid w:val="00683541"/>
    <w:rsid w:val="00684A47"/>
    <w:rsid w:val="00684EEE"/>
    <w:rsid w:val="006856FC"/>
    <w:rsid w:val="006858C0"/>
    <w:rsid w:val="00685C02"/>
    <w:rsid w:val="006861D9"/>
    <w:rsid w:val="006862EE"/>
    <w:rsid w:val="00686315"/>
    <w:rsid w:val="006869FD"/>
    <w:rsid w:val="006870E0"/>
    <w:rsid w:val="00687F3E"/>
    <w:rsid w:val="006903A3"/>
    <w:rsid w:val="0069062F"/>
    <w:rsid w:val="00690C1B"/>
    <w:rsid w:val="00691119"/>
    <w:rsid w:val="0069185C"/>
    <w:rsid w:val="006925D1"/>
    <w:rsid w:val="00692A27"/>
    <w:rsid w:val="00692AAE"/>
    <w:rsid w:val="00692E1B"/>
    <w:rsid w:val="00692E59"/>
    <w:rsid w:val="006932CF"/>
    <w:rsid w:val="00693851"/>
    <w:rsid w:val="00693DA9"/>
    <w:rsid w:val="006945DD"/>
    <w:rsid w:val="00694A65"/>
    <w:rsid w:val="00694B98"/>
    <w:rsid w:val="00695425"/>
    <w:rsid w:val="00695C4C"/>
    <w:rsid w:val="0069611F"/>
    <w:rsid w:val="006961AB"/>
    <w:rsid w:val="0069742B"/>
    <w:rsid w:val="00697DBA"/>
    <w:rsid w:val="00697DE5"/>
    <w:rsid w:val="006A0814"/>
    <w:rsid w:val="006A0F6C"/>
    <w:rsid w:val="006A112F"/>
    <w:rsid w:val="006A1215"/>
    <w:rsid w:val="006A1F61"/>
    <w:rsid w:val="006A2D32"/>
    <w:rsid w:val="006A31D1"/>
    <w:rsid w:val="006A3EDD"/>
    <w:rsid w:val="006A4158"/>
    <w:rsid w:val="006A4605"/>
    <w:rsid w:val="006A4D44"/>
    <w:rsid w:val="006A51A7"/>
    <w:rsid w:val="006A5915"/>
    <w:rsid w:val="006A5C34"/>
    <w:rsid w:val="006A6451"/>
    <w:rsid w:val="006A721E"/>
    <w:rsid w:val="006A7988"/>
    <w:rsid w:val="006B0217"/>
    <w:rsid w:val="006B02E9"/>
    <w:rsid w:val="006B089F"/>
    <w:rsid w:val="006B106A"/>
    <w:rsid w:val="006B1EA7"/>
    <w:rsid w:val="006B1EAD"/>
    <w:rsid w:val="006B2719"/>
    <w:rsid w:val="006B2A84"/>
    <w:rsid w:val="006B3259"/>
    <w:rsid w:val="006B4490"/>
    <w:rsid w:val="006B44DA"/>
    <w:rsid w:val="006B4DB1"/>
    <w:rsid w:val="006B5753"/>
    <w:rsid w:val="006B5DFF"/>
    <w:rsid w:val="006B71E6"/>
    <w:rsid w:val="006B7618"/>
    <w:rsid w:val="006B7995"/>
    <w:rsid w:val="006B7EFF"/>
    <w:rsid w:val="006C0217"/>
    <w:rsid w:val="006C02D8"/>
    <w:rsid w:val="006C0594"/>
    <w:rsid w:val="006C10CF"/>
    <w:rsid w:val="006C11E3"/>
    <w:rsid w:val="006C16B9"/>
    <w:rsid w:val="006C2876"/>
    <w:rsid w:val="006C2998"/>
    <w:rsid w:val="006C34DA"/>
    <w:rsid w:val="006C3598"/>
    <w:rsid w:val="006C368E"/>
    <w:rsid w:val="006C4451"/>
    <w:rsid w:val="006C48F3"/>
    <w:rsid w:val="006C4A33"/>
    <w:rsid w:val="006C4F7A"/>
    <w:rsid w:val="006C67A3"/>
    <w:rsid w:val="006C79ED"/>
    <w:rsid w:val="006D00EE"/>
    <w:rsid w:val="006D0730"/>
    <w:rsid w:val="006D0F43"/>
    <w:rsid w:val="006D19FF"/>
    <w:rsid w:val="006D1E96"/>
    <w:rsid w:val="006D27CA"/>
    <w:rsid w:val="006D3588"/>
    <w:rsid w:val="006D3D81"/>
    <w:rsid w:val="006D47A5"/>
    <w:rsid w:val="006D489E"/>
    <w:rsid w:val="006D4B6F"/>
    <w:rsid w:val="006D4BD4"/>
    <w:rsid w:val="006D5100"/>
    <w:rsid w:val="006D51C1"/>
    <w:rsid w:val="006D55B5"/>
    <w:rsid w:val="006D5B88"/>
    <w:rsid w:val="006D5C14"/>
    <w:rsid w:val="006D6371"/>
    <w:rsid w:val="006D6E06"/>
    <w:rsid w:val="006D7348"/>
    <w:rsid w:val="006D794D"/>
    <w:rsid w:val="006D7C9E"/>
    <w:rsid w:val="006E0328"/>
    <w:rsid w:val="006E07EE"/>
    <w:rsid w:val="006E09EE"/>
    <w:rsid w:val="006E110C"/>
    <w:rsid w:val="006E12B9"/>
    <w:rsid w:val="006E19EA"/>
    <w:rsid w:val="006E1D32"/>
    <w:rsid w:val="006E22CF"/>
    <w:rsid w:val="006E3C62"/>
    <w:rsid w:val="006E440E"/>
    <w:rsid w:val="006E52A2"/>
    <w:rsid w:val="006E6080"/>
    <w:rsid w:val="006E68C2"/>
    <w:rsid w:val="006F022C"/>
    <w:rsid w:val="006F0452"/>
    <w:rsid w:val="006F0E01"/>
    <w:rsid w:val="006F1CCF"/>
    <w:rsid w:val="006F1ED0"/>
    <w:rsid w:val="006F22E3"/>
    <w:rsid w:val="006F262E"/>
    <w:rsid w:val="006F2E43"/>
    <w:rsid w:val="006F3D2F"/>
    <w:rsid w:val="006F43DE"/>
    <w:rsid w:val="006F534B"/>
    <w:rsid w:val="006F55ED"/>
    <w:rsid w:val="006F56DA"/>
    <w:rsid w:val="006F72AB"/>
    <w:rsid w:val="006F7E60"/>
    <w:rsid w:val="006F7EE7"/>
    <w:rsid w:val="00700233"/>
    <w:rsid w:val="007007AF"/>
    <w:rsid w:val="007009EC"/>
    <w:rsid w:val="00701AC6"/>
    <w:rsid w:val="00701B5F"/>
    <w:rsid w:val="00701D96"/>
    <w:rsid w:val="00701E26"/>
    <w:rsid w:val="00703207"/>
    <w:rsid w:val="0070337B"/>
    <w:rsid w:val="00703511"/>
    <w:rsid w:val="00703AB0"/>
    <w:rsid w:val="00703ACE"/>
    <w:rsid w:val="00703D4A"/>
    <w:rsid w:val="007068C6"/>
    <w:rsid w:val="00706E8B"/>
    <w:rsid w:val="00707A32"/>
    <w:rsid w:val="00710F1B"/>
    <w:rsid w:val="007125FE"/>
    <w:rsid w:val="00712A3A"/>
    <w:rsid w:val="007132DC"/>
    <w:rsid w:val="00713636"/>
    <w:rsid w:val="00713F61"/>
    <w:rsid w:val="00713FEA"/>
    <w:rsid w:val="00714902"/>
    <w:rsid w:val="007149EF"/>
    <w:rsid w:val="00715335"/>
    <w:rsid w:val="00715758"/>
    <w:rsid w:val="00715D5B"/>
    <w:rsid w:val="00715EE2"/>
    <w:rsid w:val="00716502"/>
    <w:rsid w:val="00717293"/>
    <w:rsid w:val="007172A4"/>
    <w:rsid w:val="007172DC"/>
    <w:rsid w:val="00717F25"/>
    <w:rsid w:val="00721E2B"/>
    <w:rsid w:val="0072279A"/>
    <w:rsid w:val="00722995"/>
    <w:rsid w:val="00723241"/>
    <w:rsid w:val="00723DA2"/>
    <w:rsid w:val="00723E9C"/>
    <w:rsid w:val="00723FC4"/>
    <w:rsid w:val="00724215"/>
    <w:rsid w:val="007243F9"/>
    <w:rsid w:val="00725124"/>
    <w:rsid w:val="007256A8"/>
    <w:rsid w:val="0072573C"/>
    <w:rsid w:val="00726401"/>
    <w:rsid w:val="00726F41"/>
    <w:rsid w:val="007275DA"/>
    <w:rsid w:val="0073133D"/>
    <w:rsid w:val="007316E9"/>
    <w:rsid w:val="00731A17"/>
    <w:rsid w:val="00732073"/>
    <w:rsid w:val="00732824"/>
    <w:rsid w:val="00732C4D"/>
    <w:rsid w:val="0073338F"/>
    <w:rsid w:val="0073346C"/>
    <w:rsid w:val="00733972"/>
    <w:rsid w:val="00734403"/>
    <w:rsid w:val="00734729"/>
    <w:rsid w:val="00734740"/>
    <w:rsid w:val="00736162"/>
    <w:rsid w:val="0073652B"/>
    <w:rsid w:val="00736549"/>
    <w:rsid w:val="00737170"/>
    <w:rsid w:val="007373F8"/>
    <w:rsid w:val="00737473"/>
    <w:rsid w:val="00737A11"/>
    <w:rsid w:val="00740118"/>
    <w:rsid w:val="0074019A"/>
    <w:rsid w:val="007411FC"/>
    <w:rsid w:val="00741624"/>
    <w:rsid w:val="00741698"/>
    <w:rsid w:val="0074207A"/>
    <w:rsid w:val="0074259A"/>
    <w:rsid w:val="00742D2E"/>
    <w:rsid w:val="00743A30"/>
    <w:rsid w:val="00744BE7"/>
    <w:rsid w:val="0074549F"/>
    <w:rsid w:val="007455C5"/>
    <w:rsid w:val="00746587"/>
    <w:rsid w:val="0074680F"/>
    <w:rsid w:val="00747156"/>
    <w:rsid w:val="007473B4"/>
    <w:rsid w:val="00747708"/>
    <w:rsid w:val="00747A18"/>
    <w:rsid w:val="00747DB9"/>
    <w:rsid w:val="00750022"/>
    <w:rsid w:val="00753386"/>
    <w:rsid w:val="00754224"/>
    <w:rsid w:val="00754AD1"/>
    <w:rsid w:val="00754DDF"/>
    <w:rsid w:val="00754F77"/>
    <w:rsid w:val="00755D49"/>
    <w:rsid w:val="00756A3B"/>
    <w:rsid w:val="00756A6C"/>
    <w:rsid w:val="00756DF6"/>
    <w:rsid w:val="007577A9"/>
    <w:rsid w:val="007577C0"/>
    <w:rsid w:val="007622AE"/>
    <w:rsid w:val="00762C80"/>
    <w:rsid w:val="00763C7C"/>
    <w:rsid w:val="00764564"/>
    <w:rsid w:val="007647CB"/>
    <w:rsid w:val="00764E9B"/>
    <w:rsid w:val="00765423"/>
    <w:rsid w:val="00765D29"/>
    <w:rsid w:val="00765DD6"/>
    <w:rsid w:val="00766830"/>
    <w:rsid w:val="007673F2"/>
    <w:rsid w:val="00767D3A"/>
    <w:rsid w:val="00770407"/>
    <w:rsid w:val="007712A9"/>
    <w:rsid w:val="0077379C"/>
    <w:rsid w:val="00773909"/>
    <w:rsid w:val="0077437D"/>
    <w:rsid w:val="007745CB"/>
    <w:rsid w:val="00774A16"/>
    <w:rsid w:val="00774B8B"/>
    <w:rsid w:val="007754E7"/>
    <w:rsid w:val="00775B37"/>
    <w:rsid w:val="00775E54"/>
    <w:rsid w:val="00776D1E"/>
    <w:rsid w:val="00776FAB"/>
    <w:rsid w:val="0077787E"/>
    <w:rsid w:val="00777BE8"/>
    <w:rsid w:val="00780397"/>
    <w:rsid w:val="00780CF2"/>
    <w:rsid w:val="00781283"/>
    <w:rsid w:val="00781471"/>
    <w:rsid w:val="00781627"/>
    <w:rsid w:val="007818EA"/>
    <w:rsid w:val="00781AD6"/>
    <w:rsid w:val="0078288E"/>
    <w:rsid w:val="007829BC"/>
    <w:rsid w:val="00782C35"/>
    <w:rsid w:val="0078443E"/>
    <w:rsid w:val="00784A0F"/>
    <w:rsid w:val="00784D35"/>
    <w:rsid w:val="00784E8D"/>
    <w:rsid w:val="00785323"/>
    <w:rsid w:val="007856A5"/>
    <w:rsid w:val="0078601C"/>
    <w:rsid w:val="0078646A"/>
    <w:rsid w:val="00786503"/>
    <w:rsid w:val="00786910"/>
    <w:rsid w:val="0078694D"/>
    <w:rsid w:val="0078777A"/>
    <w:rsid w:val="007904B5"/>
    <w:rsid w:val="00790626"/>
    <w:rsid w:val="00790F4B"/>
    <w:rsid w:val="00791181"/>
    <w:rsid w:val="0079123C"/>
    <w:rsid w:val="00791AE9"/>
    <w:rsid w:val="00792001"/>
    <w:rsid w:val="007920C8"/>
    <w:rsid w:val="0079265D"/>
    <w:rsid w:val="007928F9"/>
    <w:rsid w:val="007932B0"/>
    <w:rsid w:val="0079345C"/>
    <w:rsid w:val="00793578"/>
    <w:rsid w:val="00793A15"/>
    <w:rsid w:val="00793EFB"/>
    <w:rsid w:val="00794142"/>
    <w:rsid w:val="00794999"/>
    <w:rsid w:val="00795BE7"/>
    <w:rsid w:val="007960C5"/>
    <w:rsid w:val="007963C9"/>
    <w:rsid w:val="00796F01"/>
    <w:rsid w:val="0079716C"/>
    <w:rsid w:val="00797995"/>
    <w:rsid w:val="00797F3A"/>
    <w:rsid w:val="00797FDE"/>
    <w:rsid w:val="007A06E5"/>
    <w:rsid w:val="007A08DF"/>
    <w:rsid w:val="007A1066"/>
    <w:rsid w:val="007A10F6"/>
    <w:rsid w:val="007A1609"/>
    <w:rsid w:val="007A2920"/>
    <w:rsid w:val="007A38F2"/>
    <w:rsid w:val="007A41DB"/>
    <w:rsid w:val="007A45EC"/>
    <w:rsid w:val="007A50FF"/>
    <w:rsid w:val="007A6BFD"/>
    <w:rsid w:val="007A7C6D"/>
    <w:rsid w:val="007A7DED"/>
    <w:rsid w:val="007B1660"/>
    <w:rsid w:val="007B34CC"/>
    <w:rsid w:val="007B4800"/>
    <w:rsid w:val="007B482F"/>
    <w:rsid w:val="007B4F2C"/>
    <w:rsid w:val="007B52E2"/>
    <w:rsid w:val="007B63C7"/>
    <w:rsid w:val="007C04A0"/>
    <w:rsid w:val="007C0921"/>
    <w:rsid w:val="007C1EE2"/>
    <w:rsid w:val="007C246A"/>
    <w:rsid w:val="007C30E6"/>
    <w:rsid w:val="007C31B3"/>
    <w:rsid w:val="007C320A"/>
    <w:rsid w:val="007C4547"/>
    <w:rsid w:val="007C46B1"/>
    <w:rsid w:val="007C4C36"/>
    <w:rsid w:val="007C4E24"/>
    <w:rsid w:val="007C5326"/>
    <w:rsid w:val="007C57B6"/>
    <w:rsid w:val="007C5914"/>
    <w:rsid w:val="007C76F4"/>
    <w:rsid w:val="007C784B"/>
    <w:rsid w:val="007D02DF"/>
    <w:rsid w:val="007D0321"/>
    <w:rsid w:val="007D099B"/>
    <w:rsid w:val="007D0EBE"/>
    <w:rsid w:val="007D0F30"/>
    <w:rsid w:val="007D1072"/>
    <w:rsid w:val="007D115F"/>
    <w:rsid w:val="007D13FC"/>
    <w:rsid w:val="007D1DB8"/>
    <w:rsid w:val="007D24A2"/>
    <w:rsid w:val="007D317A"/>
    <w:rsid w:val="007D32FE"/>
    <w:rsid w:val="007D3783"/>
    <w:rsid w:val="007D4974"/>
    <w:rsid w:val="007D4CF8"/>
    <w:rsid w:val="007D51B6"/>
    <w:rsid w:val="007D6E19"/>
    <w:rsid w:val="007D730A"/>
    <w:rsid w:val="007D7C91"/>
    <w:rsid w:val="007E0548"/>
    <w:rsid w:val="007E0B5A"/>
    <w:rsid w:val="007E1AF0"/>
    <w:rsid w:val="007E20E3"/>
    <w:rsid w:val="007E267B"/>
    <w:rsid w:val="007E271F"/>
    <w:rsid w:val="007E3832"/>
    <w:rsid w:val="007E45BE"/>
    <w:rsid w:val="007E4619"/>
    <w:rsid w:val="007E4B25"/>
    <w:rsid w:val="007E61D7"/>
    <w:rsid w:val="007E6E0D"/>
    <w:rsid w:val="007E740F"/>
    <w:rsid w:val="007E7794"/>
    <w:rsid w:val="007E787F"/>
    <w:rsid w:val="007E7C1B"/>
    <w:rsid w:val="007F147B"/>
    <w:rsid w:val="007F2749"/>
    <w:rsid w:val="007F2778"/>
    <w:rsid w:val="007F2CFE"/>
    <w:rsid w:val="007F364E"/>
    <w:rsid w:val="007F4CEE"/>
    <w:rsid w:val="007F500F"/>
    <w:rsid w:val="007F567E"/>
    <w:rsid w:val="007F6856"/>
    <w:rsid w:val="007F6AAD"/>
    <w:rsid w:val="007F7678"/>
    <w:rsid w:val="007F7B7B"/>
    <w:rsid w:val="008003C8"/>
    <w:rsid w:val="00800525"/>
    <w:rsid w:val="00800A02"/>
    <w:rsid w:val="00801965"/>
    <w:rsid w:val="00801A93"/>
    <w:rsid w:val="00801C08"/>
    <w:rsid w:val="00802003"/>
    <w:rsid w:val="008020AB"/>
    <w:rsid w:val="00802B69"/>
    <w:rsid w:val="00802E22"/>
    <w:rsid w:val="00804274"/>
    <w:rsid w:val="0080447C"/>
    <w:rsid w:val="0080480E"/>
    <w:rsid w:val="0080517A"/>
    <w:rsid w:val="008056B8"/>
    <w:rsid w:val="00805B79"/>
    <w:rsid w:val="0080608D"/>
    <w:rsid w:val="0080675D"/>
    <w:rsid w:val="00806982"/>
    <w:rsid w:val="00806BCC"/>
    <w:rsid w:val="0080703F"/>
    <w:rsid w:val="0080706B"/>
    <w:rsid w:val="00807A67"/>
    <w:rsid w:val="00807CF0"/>
    <w:rsid w:val="00810815"/>
    <w:rsid w:val="00810F68"/>
    <w:rsid w:val="00811B36"/>
    <w:rsid w:val="0081219D"/>
    <w:rsid w:val="00812D54"/>
    <w:rsid w:val="00813410"/>
    <w:rsid w:val="008135E1"/>
    <w:rsid w:val="00814225"/>
    <w:rsid w:val="008143E9"/>
    <w:rsid w:val="008156A9"/>
    <w:rsid w:val="00815718"/>
    <w:rsid w:val="008158F6"/>
    <w:rsid w:val="00815ED9"/>
    <w:rsid w:val="00815F7C"/>
    <w:rsid w:val="008161A3"/>
    <w:rsid w:val="008164C4"/>
    <w:rsid w:val="008204A5"/>
    <w:rsid w:val="00821016"/>
    <w:rsid w:val="00821A21"/>
    <w:rsid w:val="00822396"/>
    <w:rsid w:val="008227A8"/>
    <w:rsid w:val="008248A1"/>
    <w:rsid w:val="0082495C"/>
    <w:rsid w:val="00826DFB"/>
    <w:rsid w:val="008270CF"/>
    <w:rsid w:val="008278EF"/>
    <w:rsid w:val="00827916"/>
    <w:rsid w:val="00830CE3"/>
    <w:rsid w:val="00831633"/>
    <w:rsid w:val="00831641"/>
    <w:rsid w:val="008318AA"/>
    <w:rsid w:val="00831D98"/>
    <w:rsid w:val="00831DC0"/>
    <w:rsid w:val="0083240A"/>
    <w:rsid w:val="008327BD"/>
    <w:rsid w:val="008329B1"/>
    <w:rsid w:val="00832D1A"/>
    <w:rsid w:val="0083318F"/>
    <w:rsid w:val="00833BB6"/>
    <w:rsid w:val="00833BEE"/>
    <w:rsid w:val="00834038"/>
    <w:rsid w:val="0083540F"/>
    <w:rsid w:val="00835A75"/>
    <w:rsid w:val="00837820"/>
    <w:rsid w:val="00840C0A"/>
    <w:rsid w:val="00841E58"/>
    <w:rsid w:val="008424FA"/>
    <w:rsid w:val="008432C0"/>
    <w:rsid w:val="0084353D"/>
    <w:rsid w:val="00843E12"/>
    <w:rsid w:val="00844100"/>
    <w:rsid w:val="008446E6"/>
    <w:rsid w:val="0084553D"/>
    <w:rsid w:val="00845637"/>
    <w:rsid w:val="00845A1E"/>
    <w:rsid w:val="0084695E"/>
    <w:rsid w:val="00847AD6"/>
    <w:rsid w:val="00847AE6"/>
    <w:rsid w:val="0085012F"/>
    <w:rsid w:val="00850E64"/>
    <w:rsid w:val="008518C3"/>
    <w:rsid w:val="008518F3"/>
    <w:rsid w:val="00852C5C"/>
    <w:rsid w:val="00853957"/>
    <w:rsid w:val="008547FF"/>
    <w:rsid w:val="00854A0B"/>
    <w:rsid w:val="00854FE4"/>
    <w:rsid w:val="00855E28"/>
    <w:rsid w:val="0085608F"/>
    <w:rsid w:val="008560A3"/>
    <w:rsid w:val="00856C26"/>
    <w:rsid w:val="00857611"/>
    <w:rsid w:val="00857F48"/>
    <w:rsid w:val="0086042D"/>
    <w:rsid w:val="00860688"/>
    <w:rsid w:val="00860D50"/>
    <w:rsid w:val="008625B4"/>
    <w:rsid w:val="00862748"/>
    <w:rsid w:val="0086475C"/>
    <w:rsid w:val="008649FD"/>
    <w:rsid w:val="0086672B"/>
    <w:rsid w:val="00866CA4"/>
    <w:rsid w:val="00866EA1"/>
    <w:rsid w:val="00867123"/>
    <w:rsid w:val="00867233"/>
    <w:rsid w:val="00867C2E"/>
    <w:rsid w:val="00867CA0"/>
    <w:rsid w:val="00870A07"/>
    <w:rsid w:val="00870F85"/>
    <w:rsid w:val="00871B2B"/>
    <w:rsid w:val="00872E81"/>
    <w:rsid w:val="008736A5"/>
    <w:rsid w:val="008744C6"/>
    <w:rsid w:val="00874D5F"/>
    <w:rsid w:val="00875478"/>
    <w:rsid w:val="008757F8"/>
    <w:rsid w:val="00875C09"/>
    <w:rsid w:val="00875E9E"/>
    <w:rsid w:val="00876177"/>
    <w:rsid w:val="0087648B"/>
    <w:rsid w:val="00876522"/>
    <w:rsid w:val="00876539"/>
    <w:rsid w:val="00876E64"/>
    <w:rsid w:val="00877188"/>
    <w:rsid w:val="0087736F"/>
    <w:rsid w:val="0088042D"/>
    <w:rsid w:val="00880BBE"/>
    <w:rsid w:val="00881380"/>
    <w:rsid w:val="008818B1"/>
    <w:rsid w:val="00881CA8"/>
    <w:rsid w:val="00881D3A"/>
    <w:rsid w:val="008828CC"/>
    <w:rsid w:val="00883402"/>
    <w:rsid w:val="00884249"/>
    <w:rsid w:val="008849F4"/>
    <w:rsid w:val="00884D86"/>
    <w:rsid w:val="00884F4B"/>
    <w:rsid w:val="008851BA"/>
    <w:rsid w:val="008851C2"/>
    <w:rsid w:val="00886800"/>
    <w:rsid w:val="00886D33"/>
    <w:rsid w:val="008870A1"/>
    <w:rsid w:val="00887A54"/>
    <w:rsid w:val="008902B4"/>
    <w:rsid w:val="00890496"/>
    <w:rsid w:val="008907D5"/>
    <w:rsid w:val="00890BD6"/>
    <w:rsid w:val="00890FA6"/>
    <w:rsid w:val="008927AA"/>
    <w:rsid w:val="00893150"/>
    <w:rsid w:val="0089335D"/>
    <w:rsid w:val="008934B2"/>
    <w:rsid w:val="00894940"/>
    <w:rsid w:val="008976BC"/>
    <w:rsid w:val="00897AED"/>
    <w:rsid w:val="00897E84"/>
    <w:rsid w:val="008A069F"/>
    <w:rsid w:val="008A0C94"/>
    <w:rsid w:val="008A1017"/>
    <w:rsid w:val="008A1031"/>
    <w:rsid w:val="008A23FF"/>
    <w:rsid w:val="008A3172"/>
    <w:rsid w:val="008A3185"/>
    <w:rsid w:val="008A3394"/>
    <w:rsid w:val="008A35A6"/>
    <w:rsid w:val="008A36ED"/>
    <w:rsid w:val="008A3B9E"/>
    <w:rsid w:val="008A3C50"/>
    <w:rsid w:val="008A4662"/>
    <w:rsid w:val="008A4D72"/>
    <w:rsid w:val="008A66C7"/>
    <w:rsid w:val="008A69EA"/>
    <w:rsid w:val="008A6AC1"/>
    <w:rsid w:val="008A6DC4"/>
    <w:rsid w:val="008A74B4"/>
    <w:rsid w:val="008A781D"/>
    <w:rsid w:val="008A7964"/>
    <w:rsid w:val="008A7AEE"/>
    <w:rsid w:val="008A7C2F"/>
    <w:rsid w:val="008B0860"/>
    <w:rsid w:val="008B0980"/>
    <w:rsid w:val="008B09B0"/>
    <w:rsid w:val="008B1348"/>
    <w:rsid w:val="008B1A15"/>
    <w:rsid w:val="008B1B39"/>
    <w:rsid w:val="008B1B7A"/>
    <w:rsid w:val="008B2564"/>
    <w:rsid w:val="008B2E0F"/>
    <w:rsid w:val="008B38E2"/>
    <w:rsid w:val="008B3C5B"/>
    <w:rsid w:val="008B445A"/>
    <w:rsid w:val="008B45C3"/>
    <w:rsid w:val="008B4843"/>
    <w:rsid w:val="008B4C4E"/>
    <w:rsid w:val="008B522E"/>
    <w:rsid w:val="008B5555"/>
    <w:rsid w:val="008B564B"/>
    <w:rsid w:val="008B5BEE"/>
    <w:rsid w:val="008B6993"/>
    <w:rsid w:val="008B6D0B"/>
    <w:rsid w:val="008B6FD7"/>
    <w:rsid w:val="008B716F"/>
    <w:rsid w:val="008C0782"/>
    <w:rsid w:val="008C0C0A"/>
    <w:rsid w:val="008C2008"/>
    <w:rsid w:val="008C248D"/>
    <w:rsid w:val="008C2578"/>
    <w:rsid w:val="008C2CF6"/>
    <w:rsid w:val="008C2E0D"/>
    <w:rsid w:val="008C4E74"/>
    <w:rsid w:val="008C578D"/>
    <w:rsid w:val="008C6664"/>
    <w:rsid w:val="008C66A6"/>
    <w:rsid w:val="008C66C0"/>
    <w:rsid w:val="008C76A3"/>
    <w:rsid w:val="008C7A0C"/>
    <w:rsid w:val="008C7D8A"/>
    <w:rsid w:val="008C7FCC"/>
    <w:rsid w:val="008D02AF"/>
    <w:rsid w:val="008D047E"/>
    <w:rsid w:val="008D0683"/>
    <w:rsid w:val="008D0DB4"/>
    <w:rsid w:val="008D155C"/>
    <w:rsid w:val="008D1772"/>
    <w:rsid w:val="008D1AF7"/>
    <w:rsid w:val="008D255E"/>
    <w:rsid w:val="008D2860"/>
    <w:rsid w:val="008D2BCD"/>
    <w:rsid w:val="008D3101"/>
    <w:rsid w:val="008D3287"/>
    <w:rsid w:val="008D3A0F"/>
    <w:rsid w:val="008D55CC"/>
    <w:rsid w:val="008D7377"/>
    <w:rsid w:val="008D7865"/>
    <w:rsid w:val="008D7885"/>
    <w:rsid w:val="008D7CB6"/>
    <w:rsid w:val="008E08C0"/>
    <w:rsid w:val="008E27DB"/>
    <w:rsid w:val="008E2AD7"/>
    <w:rsid w:val="008E324D"/>
    <w:rsid w:val="008E3DFA"/>
    <w:rsid w:val="008E43B5"/>
    <w:rsid w:val="008E464F"/>
    <w:rsid w:val="008E48A2"/>
    <w:rsid w:val="008E4A4C"/>
    <w:rsid w:val="008E5141"/>
    <w:rsid w:val="008E5A8E"/>
    <w:rsid w:val="008E5ABC"/>
    <w:rsid w:val="008F07DE"/>
    <w:rsid w:val="008F106A"/>
    <w:rsid w:val="008F1D6A"/>
    <w:rsid w:val="008F3125"/>
    <w:rsid w:val="008F338F"/>
    <w:rsid w:val="008F3B87"/>
    <w:rsid w:val="008F4645"/>
    <w:rsid w:val="008F4FE2"/>
    <w:rsid w:val="008F6498"/>
    <w:rsid w:val="008F65DD"/>
    <w:rsid w:val="008F7489"/>
    <w:rsid w:val="008F7955"/>
    <w:rsid w:val="009000B8"/>
    <w:rsid w:val="00900485"/>
    <w:rsid w:val="00900D71"/>
    <w:rsid w:val="009014F7"/>
    <w:rsid w:val="0090218E"/>
    <w:rsid w:val="00902A60"/>
    <w:rsid w:val="00902F2B"/>
    <w:rsid w:val="00903029"/>
    <w:rsid w:val="00903496"/>
    <w:rsid w:val="00903683"/>
    <w:rsid w:val="009037CE"/>
    <w:rsid w:val="00903B8B"/>
    <w:rsid w:val="009047F0"/>
    <w:rsid w:val="00904DCA"/>
    <w:rsid w:val="009055D6"/>
    <w:rsid w:val="00905AE7"/>
    <w:rsid w:val="00906D98"/>
    <w:rsid w:val="00907C4E"/>
    <w:rsid w:val="00911114"/>
    <w:rsid w:val="009112B1"/>
    <w:rsid w:val="00913495"/>
    <w:rsid w:val="00913694"/>
    <w:rsid w:val="00913B87"/>
    <w:rsid w:val="00913E9E"/>
    <w:rsid w:val="00913FE4"/>
    <w:rsid w:val="00914539"/>
    <w:rsid w:val="009157B8"/>
    <w:rsid w:val="009178B6"/>
    <w:rsid w:val="00917CC3"/>
    <w:rsid w:val="009200D7"/>
    <w:rsid w:val="0092078A"/>
    <w:rsid w:val="009208F0"/>
    <w:rsid w:val="00921C2F"/>
    <w:rsid w:val="00921E16"/>
    <w:rsid w:val="00922408"/>
    <w:rsid w:val="00922617"/>
    <w:rsid w:val="0092272B"/>
    <w:rsid w:val="00922A15"/>
    <w:rsid w:val="009247C3"/>
    <w:rsid w:val="0092489F"/>
    <w:rsid w:val="00924F5A"/>
    <w:rsid w:val="00925041"/>
    <w:rsid w:val="0092534F"/>
    <w:rsid w:val="009253C7"/>
    <w:rsid w:val="0092598E"/>
    <w:rsid w:val="00925BEB"/>
    <w:rsid w:val="009262D3"/>
    <w:rsid w:val="00926BD5"/>
    <w:rsid w:val="00927136"/>
    <w:rsid w:val="009301B6"/>
    <w:rsid w:val="009301D3"/>
    <w:rsid w:val="009310AF"/>
    <w:rsid w:val="00931608"/>
    <w:rsid w:val="0093289F"/>
    <w:rsid w:val="00932A52"/>
    <w:rsid w:val="00932B30"/>
    <w:rsid w:val="00933979"/>
    <w:rsid w:val="00933C2B"/>
    <w:rsid w:val="00933E2B"/>
    <w:rsid w:val="00935653"/>
    <w:rsid w:val="0093664C"/>
    <w:rsid w:val="0093711E"/>
    <w:rsid w:val="00941A46"/>
    <w:rsid w:val="009420AE"/>
    <w:rsid w:val="00942393"/>
    <w:rsid w:val="0094343B"/>
    <w:rsid w:val="0094349B"/>
    <w:rsid w:val="00943602"/>
    <w:rsid w:val="00943C2F"/>
    <w:rsid w:val="009447CD"/>
    <w:rsid w:val="00945866"/>
    <w:rsid w:val="00945D26"/>
    <w:rsid w:val="00946DE3"/>
    <w:rsid w:val="00946EED"/>
    <w:rsid w:val="00947500"/>
    <w:rsid w:val="009502AA"/>
    <w:rsid w:val="009507A2"/>
    <w:rsid w:val="009515FB"/>
    <w:rsid w:val="00951A44"/>
    <w:rsid w:val="00951B77"/>
    <w:rsid w:val="00951DB7"/>
    <w:rsid w:val="00951F0C"/>
    <w:rsid w:val="00952308"/>
    <w:rsid w:val="00952701"/>
    <w:rsid w:val="00952EAB"/>
    <w:rsid w:val="00953E4F"/>
    <w:rsid w:val="00954F3D"/>
    <w:rsid w:val="00956062"/>
    <w:rsid w:val="0095673C"/>
    <w:rsid w:val="00956B21"/>
    <w:rsid w:val="009579EC"/>
    <w:rsid w:val="00960174"/>
    <w:rsid w:val="0096082C"/>
    <w:rsid w:val="00960B4E"/>
    <w:rsid w:val="0096172B"/>
    <w:rsid w:val="00961E38"/>
    <w:rsid w:val="0096221B"/>
    <w:rsid w:val="0096266E"/>
    <w:rsid w:val="00962B84"/>
    <w:rsid w:val="00963810"/>
    <w:rsid w:val="00964046"/>
    <w:rsid w:val="009646B4"/>
    <w:rsid w:val="009652B0"/>
    <w:rsid w:val="009654D5"/>
    <w:rsid w:val="009663F9"/>
    <w:rsid w:val="00966CAA"/>
    <w:rsid w:val="00967B96"/>
    <w:rsid w:val="00970054"/>
    <w:rsid w:val="009715E0"/>
    <w:rsid w:val="00971CC1"/>
    <w:rsid w:val="00971E54"/>
    <w:rsid w:val="009725E0"/>
    <w:rsid w:val="009726EA"/>
    <w:rsid w:val="00972CB3"/>
    <w:rsid w:val="00972EBF"/>
    <w:rsid w:val="00973145"/>
    <w:rsid w:val="00973718"/>
    <w:rsid w:val="00974E26"/>
    <w:rsid w:val="00974F26"/>
    <w:rsid w:val="0097534D"/>
    <w:rsid w:val="00975653"/>
    <w:rsid w:val="009760BA"/>
    <w:rsid w:val="00976DC9"/>
    <w:rsid w:val="0097772F"/>
    <w:rsid w:val="0098099D"/>
    <w:rsid w:val="009810BE"/>
    <w:rsid w:val="00982298"/>
    <w:rsid w:val="00982A81"/>
    <w:rsid w:val="00983D12"/>
    <w:rsid w:val="00984056"/>
    <w:rsid w:val="0098418C"/>
    <w:rsid w:val="009844D3"/>
    <w:rsid w:val="009853A2"/>
    <w:rsid w:val="00985789"/>
    <w:rsid w:val="009858CF"/>
    <w:rsid w:val="00986837"/>
    <w:rsid w:val="009874D9"/>
    <w:rsid w:val="00987D09"/>
    <w:rsid w:val="00987E31"/>
    <w:rsid w:val="00990025"/>
    <w:rsid w:val="0099011E"/>
    <w:rsid w:val="00990804"/>
    <w:rsid w:val="009909B3"/>
    <w:rsid w:val="0099168F"/>
    <w:rsid w:val="00993AD8"/>
    <w:rsid w:val="009943D2"/>
    <w:rsid w:val="00994472"/>
    <w:rsid w:val="00994CDE"/>
    <w:rsid w:val="00995931"/>
    <w:rsid w:val="0099635B"/>
    <w:rsid w:val="009966B3"/>
    <w:rsid w:val="009968AF"/>
    <w:rsid w:val="00996900"/>
    <w:rsid w:val="00996AC5"/>
    <w:rsid w:val="009A0290"/>
    <w:rsid w:val="009A139D"/>
    <w:rsid w:val="009A1B60"/>
    <w:rsid w:val="009A2CC2"/>
    <w:rsid w:val="009A39AC"/>
    <w:rsid w:val="009A3B83"/>
    <w:rsid w:val="009A3CF5"/>
    <w:rsid w:val="009A48E1"/>
    <w:rsid w:val="009A504E"/>
    <w:rsid w:val="009A63E0"/>
    <w:rsid w:val="009A64F0"/>
    <w:rsid w:val="009A6B36"/>
    <w:rsid w:val="009A71DF"/>
    <w:rsid w:val="009A7551"/>
    <w:rsid w:val="009A7684"/>
    <w:rsid w:val="009A7E33"/>
    <w:rsid w:val="009B00DC"/>
    <w:rsid w:val="009B0B41"/>
    <w:rsid w:val="009B153F"/>
    <w:rsid w:val="009B1637"/>
    <w:rsid w:val="009B169A"/>
    <w:rsid w:val="009B1CE4"/>
    <w:rsid w:val="009B35A6"/>
    <w:rsid w:val="009B450E"/>
    <w:rsid w:val="009B4899"/>
    <w:rsid w:val="009B4B38"/>
    <w:rsid w:val="009B4CCE"/>
    <w:rsid w:val="009B664E"/>
    <w:rsid w:val="009B664F"/>
    <w:rsid w:val="009B6A9A"/>
    <w:rsid w:val="009B70F1"/>
    <w:rsid w:val="009B74D5"/>
    <w:rsid w:val="009C036D"/>
    <w:rsid w:val="009C0413"/>
    <w:rsid w:val="009C1826"/>
    <w:rsid w:val="009C2E25"/>
    <w:rsid w:val="009C2FEA"/>
    <w:rsid w:val="009C3154"/>
    <w:rsid w:val="009C3186"/>
    <w:rsid w:val="009C31B3"/>
    <w:rsid w:val="009C3314"/>
    <w:rsid w:val="009C35F3"/>
    <w:rsid w:val="009C47E3"/>
    <w:rsid w:val="009C4C35"/>
    <w:rsid w:val="009C4E3C"/>
    <w:rsid w:val="009C54BA"/>
    <w:rsid w:val="009C5838"/>
    <w:rsid w:val="009C5D8D"/>
    <w:rsid w:val="009C677C"/>
    <w:rsid w:val="009C74BA"/>
    <w:rsid w:val="009D016C"/>
    <w:rsid w:val="009D0863"/>
    <w:rsid w:val="009D0DF4"/>
    <w:rsid w:val="009D1289"/>
    <w:rsid w:val="009D24FC"/>
    <w:rsid w:val="009D2624"/>
    <w:rsid w:val="009D3A7B"/>
    <w:rsid w:val="009D3BA2"/>
    <w:rsid w:val="009D43A2"/>
    <w:rsid w:val="009D4F4E"/>
    <w:rsid w:val="009D7F12"/>
    <w:rsid w:val="009D7F7F"/>
    <w:rsid w:val="009E04CA"/>
    <w:rsid w:val="009E0A76"/>
    <w:rsid w:val="009E0C2D"/>
    <w:rsid w:val="009E0C8F"/>
    <w:rsid w:val="009E0F71"/>
    <w:rsid w:val="009E0F90"/>
    <w:rsid w:val="009E24F9"/>
    <w:rsid w:val="009E2726"/>
    <w:rsid w:val="009E303D"/>
    <w:rsid w:val="009E34A8"/>
    <w:rsid w:val="009E380C"/>
    <w:rsid w:val="009E3F64"/>
    <w:rsid w:val="009E447A"/>
    <w:rsid w:val="009E45FF"/>
    <w:rsid w:val="009E56CB"/>
    <w:rsid w:val="009E5A0D"/>
    <w:rsid w:val="009E5BF3"/>
    <w:rsid w:val="009E64A8"/>
    <w:rsid w:val="009E771E"/>
    <w:rsid w:val="009E7FEB"/>
    <w:rsid w:val="009F03C3"/>
    <w:rsid w:val="009F090F"/>
    <w:rsid w:val="009F11F6"/>
    <w:rsid w:val="009F19B1"/>
    <w:rsid w:val="009F1B07"/>
    <w:rsid w:val="009F34DC"/>
    <w:rsid w:val="009F34FE"/>
    <w:rsid w:val="009F3734"/>
    <w:rsid w:val="009F4DEB"/>
    <w:rsid w:val="009F4FB2"/>
    <w:rsid w:val="009F51E6"/>
    <w:rsid w:val="009F5640"/>
    <w:rsid w:val="009F5749"/>
    <w:rsid w:val="009F611C"/>
    <w:rsid w:val="00A003A0"/>
    <w:rsid w:val="00A0053A"/>
    <w:rsid w:val="00A00CBE"/>
    <w:rsid w:val="00A01C5A"/>
    <w:rsid w:val="00A022B3"/>
    <w:rsid w:val="00A03128"/>
    <w:rsid w:val="00A03E3E"/>
    <w:rsid w:val="00A050B4"/>
    <w:rsid w:val="00A05340"/>
    <w:rsid w:val="00A059DD"/>
    <w:rsid w:val="00A05C25"/>
    <w:rsid w:val="00A066D5"/>
    <w:rsid w:val="00A066F7"/>
    <w:rsid w:val="00A07943"/>
    <w:rsid w:val="00A07B25"/>
    <w:rsid w:val="00A106C8"/>
    <w:rsid w:val="00A10A88"/>
    <w:rsid w:val="00A10F5D"/>
    <w:rsid w:val="00A1145D"/>
    <w:rsid w:val="00A120D4"/>
    <w:rsid w:val="00A12417"/>
    <w:rsid w:val="00A12CD7"/>
    <w:rsid w:val="00A13305"/>
    <w:rsid w:val="00A1374A"/>
    <w:rsid w:val="00A144B0"/>
    <w:rsid w:val="00A15D82"/>
    <w:rsid w:val="00A16096"/>
    <w:rsid w:val="00A1688C"/>
    <w:rsid w:val="00A16F68"/>
    <w:rsid w:val="00A17947"/>
    <w:rsid w:val="00A205B0"/>
    <w:rsid w:val="00A21745"/>
    <w:rsid w:val="00A21CD5"/>
    <w:rsid w:val="00A2201A"/>
    <w:rsid w:val="00A2284F"/>
    <w:rsid w:val="00A22B7C"/>
    <w:rsid w:val="00A237F7"/>
    <w:rsid w:val="00A23831"/>
    <w:rsid w:val="00A24951"/>
    <w:rsid w:val="00A24C3D"/>
    <w:rsid w:val="00A24D46"/>
    <w:rsid w:val="00A24EAA"/>
    <w:rsid w:val="00A25240"/>
    <w:rsid w:val="00A25AD3"/>
    <w:rsid w:val="00A26EB7"/>
    <w:rsid w:val="00A27E86"/>
    <w:rsid w:val="00A30887"/>
    <w:rsid w:val="00A30D6C"/>
    <w:rsid w:val="00A31BD6"/>
    <w:rsid w:val="00A3241A"/>
    <w:rsid w:val="00A32CF3"/>
    <w:rsid w:val="00A3399B"/>
    <w:rsid w:val="00A3475D"/>
    <w:rsid w:val="00A349FC"/>
    <w:rsid w:val="00A34DCF"/>
    <w:rsid w:val="00A351BF"/>
    <w:rsid w:val="00A37277"/>
    <w:rsid w:val="00A37C09"/>
    <w:rsid w:val="00A40048"/>
    <w:rsid w:val="00A404DB"/>
    <w:rsid w:val="00A4056B"/>
    <w:rsid w:val="00A40BE1"/>
    <w:rsid w:val="00A41488"/>
    <w:rsid w:val="00A42C7C"/>
    <w:rsid w:val="00A42C88"/>
    <w:rsid w:val="00A433F4"/>
    <w:rsid w:val="00A434D8"/>
    <w:rsid w:val="00A43511"/>
    <w:rsid w:val="00A43687"/>
    <w:rsid w:val="00A43DE1"/>
    <w:rsid w:val="00A44206"/>
    <w:rsid w:val="00A44530"/>
    <w:rsid w:val="00A44CDF"/>
    <w:rsid w:val="00A44E0A"/>
    <w:rsid w:val="00A45387"/>
    <w:rsid w:val="00A45BCA"/>
    <w:rsid w:val="00A4605A"/>
    <w:rsid w:val="00A47D71"/>
    <w:rsid w:val="00A50648"/>
    <w:rsid w:val="00A50A94"/>
    <w:rsid w:val="00A513E1"/>
    <w:rsid w:val="00A51AE1"/>
    <w:rsid w:val="00A51F24"/>
    <w:rsid w:val="00A529FE"/>
    <w:rsid w:val="00A52E27"/>
    <w:rsid w:val="00A53767"/>
    <w:rsid w:val="00A53C55"/>
    <w:rsid w:val="00A5463B"/>
    <w:rsid w:val="00A54DC8"/>
    <w:rsid w:val="00A554A1"/>
    <w:rsid w:val="00A554A8"/>
    <w:rsid w:val="00A5607A"/>
    <w:rsid w:val="00A5638B"/>
    <w:rsid w:val="00A56A87"/>
    <w:rsid w:val="00A56AAB"/>
    <w:rsid w:val="00A56CDE"/>
    <w:rsid w:val="00A57BD9"/>
    <w:rsid w:val="00A57D7B"/>
    <w:rsid w:val="00A6081D"/>
    <w:rsid w:val="00A608AF"/>
    <w:rsid w:val="00A60A05"/>
    <w:rsid w:val="00A611EC"/>
    <w:rsid w:val="00A62BA3"/>
    <w:rsid w:val="00A63236"/>
    <w:rsid w:val="00A64372"/>
    <w:rsid w:val="00A64B92"/>
    <w:rsid w:val="00A64DB0"/>
    <w:rsid w:val="00A65737"/>
    <w:rsid w:val="00A66C4A"/>
    <w:rsid w:val="00A6757B"/>
    <w:rsid w:val="00A704AA"/>
    <w:rsid w:val="00A705C4"/>
    <w:rsid w:val="00A70773"/>
    <w:rsid w:val="00A71B1B"/>
    <w:rsid w:val="00A71F6C"/>
    <w:rsid w:val="00A72F02"/>
    <w:rsid w:val="00A73B5A"/>
    <w:rsid w:val="00A73DE0"/>
    <w:rsid w:val="00A74D0D"/>
    <w:rsid w:val="00A75BCB"/>
    <w:rsid w:val="00A75D5E"/>
    <w:rsid w:val="00A76163"/>
    <w:rsid w:val="00A76B41"/>
    <w:rsid w:val="00A77561"/>
    <w:rsid w:val="00A8068A"/>
    <w:rsid w:val="00A80709"/>
    <w:rsid w:val="00A80946"/>
    <w:rsid w:val="00A8152A"/>
    <w:rsid w:val="00A816B7"/>
    <w:rsid w:val="00A81D9F"/>
    <w:rsid w:val="00A8203B"/>
    <w:rsid w:val="00A826CE"/>
    <w:rsid w:val="00A8383E"/>
    <w:rsid w:val="00A83BB6"/>
    <w:rsid w:val="00A83D10"/>
    <w:rsid w:val="00A840FD"/>
    <w:rsid w:val="00A845B9"/>
    <w:rsid w:val="00A846A9"/>
    <w:rsid w:val="00A847D5"/>
    <w:rsid w:val="00A84D34"/>
    <w:rsid w:val="00A851E5"/>
    <w:rsid w:val="00A8558C"/>
    <w:rsid w:val="00A85A90"/>
    <w:rsid w:val="00A8617D"/>
    <w:rsid w:val="00A8622A"/>
    <w:rsid w:val="00A87FA8"/>
    <w:rsid w:val="00A9027C"/>
    <w:rsid w:val="00A915E6"/>
    <w:rsid w:val="00A918CB"/>
    <w:rsid w:val="00A918ED"/>
    <w:rsid w:val="00A9221A"/>
    <w:rsid w:val="00A9445F"/>
    <w:rsid w:val="00A95A1B"/>
    <w:rsid w:val="00A95FC7"/>
    <w:rsid w:val="00A976AB"/>
    <w:rsid w:val="00A9782B"/>
    <w:rsid w:val="00AA1029"/>
    <w:rsid w:val="00AA15A4"/>
    <w:rsid w:val="00AA18B3"/>
    <w:rsid w:val="00AA22E9"/>
    <w:rsid w:val="00AA2B2E"/>
    <w:rsid w:val="00AA2EE1"/>
    <w:rsid w:val="00AA3A3F"/>
    <w:rsid w:val="00AA4405"/>
    <w:rsid w:val="00AA5153"/>
    <w:rsid w:val="00AA6021"/>
    <w:rsid w:val="00AA69B9"/>
    <w:rsid w:val="00AA6C96"/>
    <w:rsid w:val="00AA6DEA"/>
    <w:rsid w:val="00AA7212"/>
    <w:rsid w:val="00AA7536"/>
    <w:rsid w:val="00AB01A3"/>
    <w:rsid w:val="00AB1314"/>
    <w:rsid w:val="00AB1940"/>
    <w:rsid w:val="00AB21E5"/>
    <w:rsid w:val="00AB222E"/>
    <w:rsid w:val="00AB2B4E"/>
    <w:rsid w:val="00AB2FCF"/>
    <w:rsid w:val="00AB351C"/>
    <w:rsid w:val="00AB3729"/>
    <w:rsid w:val="00AB432D"/>
    <w:rsid w:val="00AB43B5"/>
    <w:rsid w:val="00AB475F"/>
    <w:rsid w:val="00AB4ED0"/>
    <w:rsid w:val="00AB5185"/>
    <w:rsid w:val="00AB540A"/>
    <w:rsid w:val="00AB5CB7"/>
    <w:rsid w:val="00AB778D"/>
    <w:rsid w:val="00AB7964"/>
    <w:rsid w:val="00AB7D0A"/>
    <w:rsid w:val="00AC0832"/>
    <w:rsid w:val="00AC0A8A"/>
    <w:rsid w:val="00AC1103"/>
    <w:rsid w:val="00AC12E8"/>
    <w:rsid w:val="00AC1B65"/>
    <w:rsid w:val="00AC2E3F"/>
    <w:rsid w:val="00AC2F2E"/>
    <w:rsid w:val="00AC350C"/>
    <w:rsid w:val="00AC4399"/>
    <w:rsid w:val="00AC45D6"/>
    <w:rsid w:val="00AC4690"/>
    <w:rsid w:val="00AC47BB"/>
    <w:rsid w:val="00AC505D"/>
    <w:rsid w:val="00AC5842"/>
    <w:rsid w:val="00AC584E"/>
    <w:rsid w:val="00AC6275"/>
    <w:rsid w:val="00AC63CC"/>
    <w:rsid w:val="00AC7527"/>
    <w:rsid w:val="00AC7A37"/>
    <w:rsid w:val="00AD03A4"/>
    <w:rsid w:val="00AD07F8"/>
    <w:rsid w:val="00AD0B3E"/>
    <w:rsid w:val="00AD0BB9"/>
    <w:rsid w:val="00AD0CD4"/>
    <w:rsid w:val="00AD0DD4"/>
    <w:rsid w:val="00AD1F69"/>
    <w:rsid w:val="00AD2218"/>
    <w:rsid w:val="00AD228F"/>
    <w:rsid w:val="00AD25B9"/>
    <w:rsid w:val="00AD28F0"/>
    <w:rsid w:val="00AD3885"/>
    <w:rsid w:val="00AD3996"/>
    <w:rsid w:val="00AD3A0D"/>
    <w:rsid w:val="00AD4456"/>
    <w:rsid w:val="00AD56DB"/>
    <w:rsid w:val="00AD6FFA"/>
    <w:rsid w:val="00AD72B2"/>
    <w:rsid w:val="00AD74DE"/>
    <w:rsid w:val="00AD7720"/>
    <w:rsid w:val="00AD7948"/>
    <w:rsid w:val="00AD7DB8"/>
    <w:rsid w:val="00AE064B"/>
    <w:rsid w:val="00AE08AA"/>
    <w:rsid w:val="00AE0F93"/>
    <w:rsid w:val="00AE1F3C"/>
    <w:rsid w:val="00AE219B"/>
    <w:rsid w:val="00AE2B84"/>
    <w:rsid w:val="00AE3F66"/>
    <w:rsid w:val="00AE5502"/>
    <w:rsid w:val="00AE5A0E"/>
    <w:rsid w:val="00AE5DEA"/>
    <w:rsid w:val="00AE6357"/>
    <w:rsid w:val="00AE63BE"/>
    <w:rsid w:val="00AE69B2"/>
    <w:rsid w:val="00AE6F95"/>
    <w:rsid w:val="00AE73B9"/>
    <w:rsid w:val="00AF06B1"/>
    <w:rsid w:val="00AF0B2F"/>
    <w:rsid w:val="00AF0DBA"/>
    <w:rsid w:val="00AF2434"/>
    <w:rsid w:val="00AF2757"/>
    <w:rsid w:val="00AF2CE1"/>
    <w:rsid w:val="00AF4260"/>
    <w:rsid w:val="00AF60A3"/>
    <w:rsid w:val="00AF6A51"/>
    <w:rsid w:val="00AF7FC6"/>
    <w:rsid w:val="00AF7FF4"/>
    <w:rsid w:val="00B002FB"/>
    <w:rsid w:val="00B009BE"/>
    <w:rsid w:val="00B01F6C"/>
    <w:rsid w:val="00B01F95"/>
    <w:rsid w:val="00B02EB2"/>
    <w:rsid w:val="00B03988"/>
    <w:rsid w:val="00B03C7F"/>
    <w:rsid w:val="00B04446"/>
    <w:rsid w:val="00B05625"/>
    <w:rsid w:val="00B06489"/>
    <w:rsid w:val="00B06A97"/>
    <w:rsid w:val="00B0751F"/>
    <w:rsid w:val="00B07A2E"/>
    <w:rsid w:val="00B07BF6"/>
    <w:rsid w:val="00B07BFA"/>
    <w:rsid w:val="00B10014"/>
    <w:rsid w:val="00B106E2"/>
    <w:rsid w:val="00B107FA"/>
    <w:rsid w:val="00B113EC"/>
    <w:rsid w:val="00B1203F"/>
    <w:rsid w:val="00B1226F"/>
    <w:rsid w:val="00B122D7"/>
    <w:rsid w:val="00B1235B"/>
    <w:rsid w:val="00B12B0E"/>
    <w:rsid w:val="00B12BB5"/>
    <w:rsid w:val="00B12F18"/>
    <w:rsid w:val="00B12F4D"/>
    <w:rsid w:val="00B13A02"/>
    <w:rsid w:val="00B13A24"/>
    <w:rsid w:val="00B14807"/>
    <w:rsid w:val="00B14C6F"/>
    <w:rsid w:val="00B1522C"/>
    <w:rsid w:val="00B1532E"/>
    <w:rsid w:val="00B15843"/>
    <w:rsid w:val="00B159FD"/>
    <w:rsid w:val="00B167D6"/>
    <w:rsid w:val="00B16A75"/>
    <w:rsid w:val="00B16FEF"/>
    <w:rsid w:val="00B174A0"/>
    <w:rsid w:val="00B211C3"/>
    <w:rsid w:val="00B215F7"/>
    <w:rsid w:val="00B2279C"/>
    <w:rsid w:val="00B22B21"/>
    <w:rsid w:val="00B23A63"/>
    <w:rsid w:val="00B23C45"/>
    <w:rsid w:val="00B23EA8"/>
    <w:rsid w:val="00B25131"/>
    <w:rsid w:val="00B265C2"/>
    <w:rsid w:val="00B26724"/>
    <w:rsid w:val="00B27463"/>
    <w:rsid w:val="00B276D1"/>
    <w:rsid w:val="00B30877"/>
    <w:rsid w:val="00B31167"/>
    <w:rsid w:val="00B311B3"/>
    <w:rsid w:val="00B31A94"/>
    <w:rsid w:val="00B32B8A"/>
    <w:rsid w:val="00B3306F"/>
    <w:rsid w:val="00B3356E"/>
    <w:rsid w:val="00B338AF"/>
    <w:rsid w:val="00B33ACE"/>
    <w:rsid w:val="00B33DD3"/>
    <w:rsid w:val="00B3442B"/>
    <w:rsid w:val="00B34AC5"/>
    <w:rsid w:val="00B350C2"/>
    <w:rsid w:val="00B35339"/>
    <w:rsid w:val="00B35CE8"/>
    <w:rsid w:val="00B35D39"/>
    <w:rsid w:val="00B35FC6"/>
    <w:rsid w:val="00B36164"/>
    <w:rsid w:val="00B367DB"/>
    <w:rsid w:val="00B37CEB"/>
    <w:rsid w:val="00B407B2"/>
    <w:rsid w:val="00B40AA4"/>
    <w:rsid w:val="00B41441"/>
    <w:rsid w:val="00B42769"/>
    <w:rsid w:val="00B42FC2"/>
    <w:rsid w:val="00B430E6"/>
    <w:rsid w:val="00B43764"/>
    <w:rsid w:val="00B43BB7"/>
    <w:rsid w:val="00B44FA7"/>
    <w:rsid w:val="00B4514A"/>
    <w:rsid w:val="00B45574"/>
    <w:rsid w:val="00B45677"/>
    <w:rsid w:val="00B46BF3"/>
    <w:rsid w:val="00B46D24"/>
    <w:rsid w:val="00B46F74"/>
    <w:rsid w:val="00B4716C"/>
    <w:rsid w:val="00B478AC"/>
    <w:rsid w:val="00B50D2D"/>
    <w:rsid w:val="00B51102"/>
    <w:rsid w:val="00B52296"/>
    <w:rsid w:val="00B52DA5"/>
    <w:rsid w:val="00B52F8D"/>
    <w:rsid w:val="00B53E3A"/>
    <w:rsid w:val="00B54EAD"/>
    <w:rsid w:val="00B54FAC"/>
    <w:rsid w:val="00B558D3"/>
    <w:rsid w:val="00B56690"/>
    <w:rsid w:val="00B569FC"/>
    <w:rsid w:val="00B578A9"/>
    <w:rsid w:val="00B57A82"/>
    <w:rsid w:val="00B600B6"/>
    <w:rsid w:val="00B6089A"/>
    <w:rsid w:val="00B60FF8"/>
    <w:rsid w:val="00B6119D"/>
    <w:rsid w:val="00B616C2"/>
    <w:rsid w:val="00B61753"/>
    <w:rsid w:val="00B61F5C"/>
    <w:rsid w:val="00B62C3C"/>
    <w:rsid w:val="00B62E0B"/>
    <w:rsid w:val="00B63360"/>
    <w:rsid w:val="00B637E8"/>
    <w:rsid w:val="00B63AC2"/>
    <w:rsid w:val="00B63D13"/>
    <w:rsid w:val="00B6447A"/>
    <w:rsid w:val="00B65499"/>
    <w:rsid w:val="00B6575B"/>
    <w:rsid w:val="00B6589A"/>
    <w:rsid w:val="00B65C32"/>
    <w:rsid w:val="00B65F23"/>
    <w:rsid w:val="00B665EC"/>
    <w:rsid w:val="00B67464"/>
    <w:rsid w:val="00B676A8"/>
    <w:rsid w:val="00B67929"/>
    <w:rsid w:val="00B67BD6"/>
    <w:rsid w:val="00B702F2"/>
    <w:rsid w:val="00B70D20"/>
    <w:rsid w:val="00B71835"/>
    <w:rsid w:val="00B71B71"/>
    <w:rsid w:val="00B72497"/>
    <w:rsid w:val="00B73139"/>
    <w:rsid w:val="00B73371"/>
    <w:rsid w:val="00B73767"/>
    <w:rsid w:val="00B74613"/>
    <w:rsid w:val="00B7553E"/>
    <w:rsid w:val="00B768F8"/>
    <w:rsid w:val="00B76B10"/>
    <w:rsid w:val="00B80577"/>
    <w:rsid w:val="00B8158F"/>
    <w:rsid w:val="00B8162B"/>
    <w:rsid w:val="00B81B32"/>
    <w:rsid w:val="00B834C1"/>
    <w:rsid w:val="00B83D07"/>
    <w:rsid w:val="00B84277"/>
    <w:rsid w:val="00B84C34"/>
    <w:rsid w:val="00B85972"/>
    <w:rsid w:val="00B867B7"/>
    <w:rsid w:val="00B867DD"/>
    <w:rsid w:val="00B86C69"/>
    <w:rsid w:val="00B86F8A"/>
    <w:rsid w:val="00B8753E"/>
    <w:rsid w:val="00B87A42"/>
    <w:rsid w:val="00B90A7E"/>
    <w:rsid w:val="00B911BB"/>
    <w:rsid w:val="00B9232E"/>
    <w:rsid w:val="00B92843"/>
    <w:rsid w:val="00B93DBF"/>
    <w:rsid w:val="00B9409C"/>
    <w:rsid w:val="00B94466"/>
    <w:rsid w:val="00B94CEC"/>
    <w:rsid w:val="00B95380"/>
    <w:rsid w:val="00B959C9"/>
    <w:rsid w:val="00B967CF"/>
    <w:rsid w:val="00B9681D"/>
    <w:rsid w:val="00BA02A1"/>
    <w:rsid w:val="00BA03CE"/>
    <w:rsid w:val="00BA0F52"/>
    <w:rsid w:val="00BA1102"/>
    <w:rsid w:val="00BA17C7"/>
    <w:rsid w:val="00BA1D43"/>
    <w:rsid w:val="00BA1FFF"/>
    <w:rsid w:val="00BA2F00"/>
    <w:rsid w:val="00BA3012"/>
    <w:rsid w:val="00BA41E8"/>
    <w:rsid w:val="00BA4554"/>
    <w:rsid w:val="00BA4735"/>
    <w:rsid w:val="00BA4E6F"/>
    <w:rsid w:val="00BA5F2A"/>
    <w:rsid w:val="00BA6628"/>
    <w:rsid w:val="00BA6E05"/>
    <w:rsid w:val="00BA7563"/>
    <w:rsid w:val="00BA7606"/>
    <w:rsid w:val="00BA7892"/>
    <w:rsid w:val="00BA7A83"/>
    <w:rsid w:val="00BB0F3A"/>
    <w:rsid w:val="00BB175C"/>
    <w:rsid w:val="00BB185E"/>
    <w:rsid w:val="00BB2587"/>
    <w:rsid w:val="00BB3799"/>
    <w:rsid w:val="00BB44C1"/>
    <w:rsid w:val="00BB5923"/>
    <w:rsid w:val="00BB5BD2"/>
    <w:rsid w:val="00BB5C5F"/>
    <w:rsid w:val="00BB6017"/>
    <w:rsid w:val="00BB68A4"/>
    <w:rsid w:val="00BB7ADC"/>
    <w:rsid w:val="00BB7CBB"/>
    <w:rsid w:val="00BC0035"/>
    <w:rsid w:val="00BC0754"/>
    <w:rsid w:val="00BC0A27"/>
    <w:rsid w:val="00BC0D4F"/>
    <w:rsid w:val="00BC0F40"/>
    <w:rsid w:val="00BC178E"/>
    <w:rsid w:val="00BC1A66"/>
    <w:rsid w:val="00BC1BFA"/>
    <w:rsid w:val="00BC21C0"/>
    <w:rsid w:val="00BC2604"/>
    <w:rsid w:val="00BC2714"/>
    <w:rsid w:val="00BC2D62"/>
    <w:rsid w:val="00BC2F65"/>
    <w:rsid w:val="00BC3BEB"/>
    <w:rsid w:val="00BC4813"/>
    <w:rsid w:val="00BC4D33"/>
    <w:rsid w:val="00BC52AA"/>
    <w:rsid w:val="00BC6071"/>
    <w:rsid w:val="00BC690A"/>
    <w:rsid w:val="00BC6F33"/>
    <w:rsid w:val="00BC7FBC"/>
    <w:rsid w:val="00BD030D"/>
    <w:rsid w:val="00BD0489"/>
    <w:rsid w:val="00BD0E76"/>
    <w:rsid w:val="00BD0F87"/>
    <w:rsid w:val="00BD1864"/>
    <w:rsid w:val="00BD214E"/>
    <w:rsid w:val="00BD2C0A"/>
    <w:rsid w:val="00BD3697"/>
    <w:rsid w:val="00BD3D86"/>
    <w:rsid w:val="00BD3FE0"/>
    <w:rsid w:val="00BD466D"/>
    <w:rsid w:val="00BD5342"/>
    <w:rsid w:val="00BD546B"/>
    <w:rsid w:val="00BD613D"/>
    <w:rsid w:val="00BD7190"/>
    <w:rsid w:val="00BE08CF"/>
    <w:rsid w:val="00BE0B45"/>
    <w:rsid w:val="00BE0C2C"/>
    <w:rsid w:val="00BE19CE"/>
    <w:rsid w:val="00BE2C2F"/>
    <w:rsid w:val="00BE2EB1"/>
    <w:rsid w:val="00BE2EF8"/>
    <w:rsid w:val="00BE2F2E"/>
    <w:rsid w:val="00BE3255"/>
    <w:rsid w:val="00BE3452"/>
    <w:rsid w:val="00BE3667"/>
    <w:rsid w:val="00BE39C8"/>
    <w:rsid w:val="00BE4A66"/>
    <w:rsid w:val="00BE4C1D"/>
    <w:rsid w:val="00BE5019"/>
    <w:rsid w:val="00BE51F0"/>
    <w:rsid w:val="00BE54AE"/>
    <w:rsid w:val="00BE5D06"/>
    <w:rsid w:val="00BE6281"/>
    <w:rsid w:val="00BE68AF"/>
    <w:rsid w:val="00BE6D8C"/>
    <w:rsid w:val="00BE739A"/>
    <w:rsid w:val="00BE7550"/>
    <w:rsid w:val="00BF0BBF"/>
    <w:rsid w:val="00BF14AF"/>
    <w:rsid w:val="00BF1A5E"/>
    <w:rsid w:val="00BF2AAA"/>
    <w:rsid w:val="00BF2AAB"/>
    <w:rsid w:val="00BF304B"/>
    <w:rsid w:val="00BF342C"/>
    <w:rsid w:val="00BF446D"/>
    <w:rsid w:val="00BF473A"/>
    <w:rsid w:val="00BF4875"/>
    <w:rsid w:val="00BF4BB0"/>
    <w:rsid w:val="00BF52AB"/>
    <w:rsid w:val="00BF575F"/>
    <w:rsid w:val="00BF5B5C"/>
    <w:rsid w:val="00BF6100"/>
    <w:rsid w:val="00BF65C2"/>
    <w:rsid w:val="00BF66F0"/>
    <w:rsid w:val="00BF6FAF"/>
    <w:rsid w:val="00BF7498"/>
    <w:rsid w:val="00BF7823"/>
    <w:rsid w:val="00BF7C7C"/>
    <w:rsid w:val="00BF7CBC"/>
    <w:rsid w:val="00C01354"/>
    <w:rsid w:val="00C0182C"/>
    <w:rsid w:val="00C02014"/>
    <w:rsid w:val="00C020DF"/>
    <w:rsid w:val="00C02580"/>
    <w:rsid w:val="00C02942"/>
    <w:rsid w:val="00C029F2"/>
    <w:rsid w:val="00C03029"/>
    <w:rsid w:val="00C030A6"/>
    <w:rsid w:val="00C03662"/>
    <w:rsid w:val="00C0449E"/>
    <w:rsid w:val="00C04A6C"/>
    <w:rsid w:val="00C05493"/>
    <w:rsid w:val="00C05765"/>
    <w:rsid w:val="00C05997"/>
    <w:rsid w:val="00C06262"/>
    <w:rsid w:val="00C06549"/>
    <w:rsid w:val="00C066A5"/>
    <w:rsid w:val="00C066B5"/>
    <w:rsid w:val="00C07089"/>
    <w:rsid w:val="00C0750B"/>
    <w:rsid w:val="00C077D0"/>
    <w:rsid w:val="00C102EE"/>
    <w:rsid w:val="00C104E5"/>
    <w:rsid w:val="00C1275F"/>
    <w:rsid w:val="00C13258"/>
    <w:rsid w:val="00C13EB4"/>
    <w:rsid w:val="00C145B0"/>
    <w:rsid w:val="00C147CC"/>
    <w:rsid w:val="00C15D7B"/>
    <w:rsid w:val="00C1654C"/>
    <w:rsid w:val="00C16727"/>
    <w:rsid w:val="00C1701D"/>
    <w:rsid w:val="00C17559"/>
    <w:rsid w:val="00C20A83"/>
    <w:rsid w:val="00C20ED9"/>
    <w:rsid w:val="00C21A0B"/>
    <w:rsid w:val="00C21A5B"/>
    <w:rsid w:val="00C21DAA"/>
    <w:rsid w:val="00C21F21"/>
    <w:rsid w:val="00C223E5"/>
    <w:rsid w:val="00C22BFE"/>
    <w:rsid w:val="00C22D07"/>
    <w:rsid w:val="00C2359A"/>
    <w:rsid w:val="00C23DF1"/>
    <w:rsid w:val="00C243A4"/>
    <w:rsid w:val="00C246EC"/>
    <w:rsid w:val="00C24D02"/>
    <w:rsid w:val="00C2663E"/>
    <w:rsid w:val="00C27898"/>
    <w:rsid w:val="00C27929"/>
    <w:rsid w:val="00C30BD6"/>
    <w:rsid w:val="00C310C8"/>
    <w:rsid w:val="00C316E8"/>
    <w:rsid w:val="00C31723"/>
    <w:rsid w:val="00C325AE"/>
    <w:rsid w:val="00C326C4"/>
    <w:rsid w:val="00C328F3"/>
    <w:rsid w:val="00C329AB"/>
    <w:rsid w:val="00C32DB7"/>
    <w:rsid w:val="00C33382"/>
    <w:rsid w:val="00C339F2"/>
    <w:rsid w:val="00C33EC6"/>
    <w:rsid w:val="00C34FFB"/>
    <w:rsid w:val="00C35749"/>
    <w:rsid w:val="00C36350"/>
    <w:rsid w:val="00C36659"/>
    <w:rsid w:val="00C375D5"/>
    <w:rsid w:val="00C3764F"/>
    <w:rsid w:val="00C376B8"/>
    <w:rsid w:val="00C40E07"/>
    <w:rsid w:val="00C40FAF"/>
    <w:rsid w:val="00C41499"/>
    <w:rsid w:val="00C414A7"/>
    <w:rsid w:val="00C415C9"/>
    <w:rsid w:val="00C41E96"/>
    <w:rsid w:val="00C422D7"/>
    <w:rsid w:val="00C42F31"/>
    <w:rsid w:val="00C45032"/>
    <w:rsid w:val="00C452DA"/>
    <w:rsid w:val="00C453FF"/>
    <w:rsid w:val="00C45808"/>
    <w:rsid w:val="00C46BBE"/>
    <w:rsid w:val="00C46DCB"/>
    <w:rsid w:val="00C46EF2"/>
    <w:rsid w:val="00C472D3"/>
    <w:rsid w:val="00C50888"/>
    <w:rsid w:val="00C51559"/>
    <w:rsid w:val="00C51B8E"/>
    <w:rsid w:val="00C52823"/>
    <w:rsid w:val="00C52D14"/>
    <w:rsid w:val="00C52E46"/>
    <w:rsid w:val="00C52F5F"/>
    <w:rsid w:val="00C53EFC"/>
    <w:rsid w:val="00C54047"/>
    <w:rsid w:val="00C54B3C"/>
    <w:rsid w:val="00C55C1F"/>
    <w:rsid w:val="00C578B5"/>
    <w:rsid w:val="00C605DF"/>
    <w:rsid w:val="00C61644"/>
    <w:rsid w:val="00C6206D"/>
    <w:rsid w:val="00C6252C"/>
    <w:rsid w:val="00C6319D"/>
    <w:rsid w:val="00C63740"/>
    <w:rsid w:val="00C640FF"/>
    <w:rsid w:val="00C643C6"/>
    <w:rsid w:val="00C644D4"/>
    <w:rsid w:val="00C647C8"/>
    <w:rsid w:val="00C64F9B"/>
    <w:rsid w:val="00C65438"/>
    <w:rsid w:val="00C672AD"/>
    <w:rsid w:val="00C67456"/>
    <w:rsid w:val="00C677EB"/>
    <w:rsid w:val="00C67AFC"/>
    <w:rsid w:val="00C70428"/>
    <w:rsid w:val="00C70D17"/>
    <w:rsid w:val="00C71D33"/>
    <w:rsid w:val="00C72B63"/>
    <w:rsid w:val="00C72E63"/>
    <w:rsid w:val="00C73715"/>
    <w:rsid w:val="00C74A47"/>
    <w:rsid w:val="00C74D00"/>
    <w:rsid w:val="00C75146"/>
    <w:rsid w:val="00C75F6A"/>
    <w:rsid w:val="00C7671E"/>
    <w:rsid w:val="00C770C0"/>
    <w:rsid w:val="00C7765A"/>
    <w:rsid w:val="00C81541"/>
    <w:rsid w:val="00C81DDA"/>
    <w:rsid w:val="00C821C9"/>
    <w:rsid w:val="00C822C5"/>
    <w:rsid w:val="00C82769"/>
    <w:rsid w:val="00C82A7D"/>
    <w:rsid w:val="00C82D7F"/>
    <w:rsid w:val="00C84088"/>
    <w:rsid w:val="00C867A1"/>
    <w:rsid w:val="00C86916"/>
    <w:rsid w:val="00C879D3"/>
    <w:rsid w:val="00C87F40"/>
    <w:rsid w:val="00C904C1"/>
    <w:rsid w:val="00C90B00"/>
    <w:rsid w:val="00C92116"/>
    <w:rsid w:val="00C92622"/>
    <w:rsid w:val="00C92F9A"/>
    <w:rsid w:val="00C933D4"/>
    <w:rsid w:val="00C93745"/>
    <w:rsid w:val="00C9385A"/>
    <w:rsid w:val="00C93FB5"/>
    <w:rsid w:val="00C9539E"/>
    <w:rsid w:val="00C95C03"/>
    <w:rsid w:val="00C96812"/>
    <w:rsid w:val="00CA3501"/>
    <w:rsid w:val="00CA43C4"/>
    <w:rsid w:val="00CA4693"/>
    <w:rsid w:val="00CA4824"/>
    <w:rsid w:val="00CA4DD1"/>
    <w:rsid w:val="00CA50FD"/>
    <w:rsid w:val="00CA548D"/>
    <w:rsid w:val="00CA5726"/>
    <w:rsid w:val="00CA5CAF"/>
    <w:rsid w:val="00CA64C3"/>
    <w:rsid w:val="00CA6EA2"/>
    <w:rsid w:val="00CA7724"/>
    <w:rsid w:val="00CA7897"/>
    <w:rsid w:val="00CB0830"/>
    <w:rsid w:val="00CB0B79"/>
    <w:rsid w:val="00CB0F27"/>
    <w:rsid w:val="00CB15C0"/>
    <w:rsid w:val="00CB17FB"/>
    <w:rsid w:val="00CB1FAD"/>
    <w:rsid w:val="00CB3CA1"/>
    <w:rsid w:val="00CB40B7"/>
    <w:rsid w:val="00CB48C8"/>
    <w:rsid w:val="00CB4A6C"/>
    <w:rsid w:val="00CB4ED6"/>
    <w:rsid w:val="00CB5158"/>
    <w:rsid w:val="00CB630C"/>
    <w:rsid w:val="00CB7218"/>
    <w:rsid w:val="00CB78DE"/>
    <w:rsid w:val="00CB7A00"/>
    <w:rsid w:val="00CC013D"/>
    <w:rsid w:val="00CC044B"/>
    <w:rsid w:val="00CC1293"/>
    <w:rsid w:val="00CC228C"/>
    <w:rsid w:val="00CC286C"/>
    <w:rsid w:val="00CC2E9A"/>
    <w:rsid w:val="00CC3480"/>
    <w:rsid w:val="00CC395A"/>
    <w:rsid w:val="00CC3969"/>
    <w:rsid w:val="00CC3A72"/>
    <w:rsid w:val="00CC45A0"/>
    <w:rsid w:val="00CC4A0C"/>
    <w:rsid w:val="00CC4E0C"/>
    <w:rsid w:val="00CC4F2E"/>
    <w:rsid w:val="00CC52AD"/>
    <w:rsid w:val="00CC5312"/>
    <w:rsid w:val="00CC53B3"/>
    <w:rsid w:val="00CC552D"/>
    <w:rsid w:val="00CC558E"/>
    <w:rsid w:val="00CC5948"/>
    <w:rsid w:val="00CC67CA"/>
    <w:rsid w:val="00CC6962"/>
    <w:rsid w:val="00CC769C"/>
    <w:rsid w:val="00CC7AF4"/>
    <w:rsid w:val="00CD094D"/>
    <w:rsid w:val="00CD0B28"/>
    <w:rsid w:val="00CD1393"/>
    <w:rsid w:val="00CD1AC2"/>
    <w:rsid w:val="00CD20BE"/>
    <w:rsid w:val="00CD3E55"/>
    <w:rsid w:val="00CD44A0"/>
    <w:rsid w:val="00CD48D6"/>
    <w:rsid w:val="00CD5F0E"/>
    <w:rsid w:val="00CD6616"/>
    <w:rsid w:val="00CD6B9B"/>
    <w:rsid w:val="00CD77D3"/>
    <w:rsid w:val="00CD7F46"/>
    <w:rsid w:val="00CE0D0D"/>
    <w:rsid w:val="00CE1DE4"/>
    <w:rsid w:val="00CE2B8B"/>
    <w:rsid w:val="00CE2D07"/>
    <w:rsid w:val="00CE3C59"/>
    <w:rsid w:val="00CE4305"/>
    <w:rsid w:val="00CE44D8"/>
    <w:rsid w:val="00CE50BD"/>
    <w:rsid w:val="00CE64AE"/>
    <w:rsid w:val="00CE665C"/>
    <w:rsid w:val="00CE67D2"/>
    <w:rsid w:val="00CE68B9"/>
    <w:rsid w:val="00CF015A"/>
    <w:rsid w:val="00CF0227"/>
    <w:rsid w:val="00CF166A"/>
    <w:rsid w:val="00CF1953"/>
    <w:rsid w:val="00CF1B2B"/>
    <w:rsid w:val="00CF2390"/>
    <w:rsid w:val="00CF23EF"/>
    <w:rsid w:val="00CF3432"/>
    <w:rsid w:val="00CF3CFB"/>
    <w:rsid w:val="00CF3F45"/>
    <w:rsid w:val="00CF4ED2"/>
    <w:rsid w:val="00CF545C"/>
    <w:rsid w:val="00CF5928"/>
    <w:rsid w:val="00CF6368"/>
    <w:rsid w:val="00CF6420"/>
    <w:rsid w:val="00CF67D3"/>
    <w:rsid w:val="00CF73FA"/>
    <w:rsid w:val="00CF7767"/>
    <w:rsid w:val="00D00180"/>
    <w:rsid w:val="00D00D4C"/>
    <w:rsid w:val="00D00FEC"/>
    <w:rsid w:val="00D0133D"/>
    <w:rsid w:val="00D01361"/>
    <w:rsid w:val="00D013B7"/>
    <w:rsid w:val="00D01D2B"/>
    <w:rsid w:val="00D01D32"/>
    <w:rsid w:val="00D01EC1"/>
    <w:rsid w:val="00D02507"/>
    <w:rsid w:val="00D0269C"/>
    <w:rsid w:val="00D028F6"/>
    <w:rsid w:val="00D02D65"/>
    <w:rsid w:val="00D02E57"/>
    <w:rsid w:val="00D03846"/>
    <w:rsid w:val="00D03A5B"/>
    <w:rsid w:val="00D044DA"/>
    <w:rsid w:val="00D04EB1"/>
    <w:rsid w:val="00D05A2E"/>
    <w:rsid w:val="00D05CEC"/>
    <w:rsid w:val="00D0608C"/>
    <w:rsid w:val="00D063A0"/>
    <w:rsid w:val="00D07DB9"/>
    <w:rsid w:val="00D104E1"/>
    <w:rsid w:val="00D1163E"/>
    <w:rsid w:val="00D1201A"/>
    <w:rsid w:val="00D12DF3"/>
    <w:rsid w:val="00D13813"/>
    <w:rsid w:val="00D138E4"/>
    <w:rsid w:val="00D14355"/>
    <w:rsid w:val="00D146AF"/>
    <w:rsid w:val="00D15C05"/>
    <w:rsid w:val="00D15CE1"/>
    <w:rsid w:val="00D16042"/>
    <w:rsid w:val="00D172D4"/>
    <w:rsid w:val="00D1797F"/>
    <w:rsid w:val="00D17982"/>
    <w:rsid w:val="00D17E63"/>
    <w:rsid w:val="00D20488"/>
    <w:rsid w:val="00D206DA"/>
    <w:rsid w:val="00D20C0D"/>
    <w:rsid w:val="00D218DF"/>
    <w:rsid w:val="00D2192A"/>
    <w:rsid w:val="00D21E9C"/>
    <w:rsid w:val="00D224FC"/>
    <w:rsid w:val="00D22E2B"/>
    <w:rsid w:val="00D242CA"/>
    <w:rsid w:val="00D24332"/>
    <w:rsid w:val="00D2562D"/>
    <w:rsid w:val="00D27846"/>
    <w:rsid w:val="00D30276"/>
    <w:rsid w:val="00D30CA0"/>
    <w:rsid w:val="00D31E9B"/>
    <w:rsid w:val="00D320CA"/>
    <w:rsid w:val="00D32E30"/>
    <w:rsid w:val="00D339D1"/>
    <w:rsid w:val="00D34D16"/>
    <w:rsid w:val="00D3501B"/>
    <w:rsid w:val="00D36A88"/>
    <w:rsid w:val="00D37835"/>
    <w:rsid w:val="00D378A6"/>
    <w:rsid w:val="00D37A8E"/>
    <w:rsid w:val="00D401F3"/>
    <w:rsid w:val="00D40411"/>
    <w:rsid w:val="00D425F6"/>
    <w:rsid w:val="00D446FE"/>
    <w:rsid w:val="00D449C0"/>
    <w:rsid w:val="00D44A82"/>
    <w:rsid w:val="00D44D1B"/>
    <w:rsid w:val="00D4512E"/>
    <w:rsid w:val="00D46374"/>
    <w:rsid w:val="00D4642B"/>
    <w:rsid w:val="00D464B8"/>
    <w:rsid w:val="00D4680E"/>
    <w:rsid w:val="00D46BC1"/>
    <w:rsid w:val="00D47096"/>
    <w:rsid w:val="00D47548"/>
    <w:rsid w:val="00D47A6A"/>
    <w:rsid w:val="00D5100A"/>
    <w:rsid w:val="00D51535"/>
    <w:rsid w:val="00D51FED"/>
    <w:rsid w:val="00D52ACE"/>
    <w:rsid w:val="00D52EDD"/>
    <w:rsid w:val="00D54175"/>
    <w:rsid w:val="00D55032"/>
    <w:rsid w:val="00D566EF"/>
    <w:rsid w:val="00D56B73"/>
    <w:rsid w:val="00D56BB9"/>
    <w:rsid w:val="00D56D08"/>
    <w:rsid w:val="00D56FD5"/>
    <w:rsid w:val="00D578A8"/>
    <w:rsid w:val="00D612ED"/>
    <w:rsid w:val="00D64450"/>
    <w:rsid w:val="00D644D4"/>
    <w:rsid w:val="00D64D49"/>
    <w:rsid w:val="00D66700"/>
    <w:rsid w:val="00D67B71"/>
    <w:rsid w:val="00D70027"/>
    <w:rsid w:val="00D719A8"/>
    <w:rsid w:val="00D71BBA"/>
    <w:rsid w:val="00D726C2"/>
    <w:rsid w:val="00D728C6"/>
    <w:rsid w:val="00D7292C"/>
    <w:rsid w:val="00D7305D"/>
    <w:rsid w:val="00D73CD4"/>
    <w:rsid w:val="00D74562"/>
    <w:rsid w:val="00D748D3"/>
    <w:rsid w:val="00D7698E"/>
    <w:rsid w:val="00D77791"/>
    <w:rsid w:val="00D80061"/>
    <w:rsid w:val="00D81606"/>
    <w:rsid w:val="00D8253B"/>
    <w:rsid w:val="00D835E2"/>
    <w:rsid w:val="00D8413F"/>
    <w:rsid w:val="00D844CB"/>
    <w:rsid w:val="00D84C38"/>
    <w:rsid w:val="00D85600"/>
    <w:rsid w:val="00D858D9"/>
    <w:rsid w:val="00D866F2"/>
    <w:rsid w:val="00D870B2"/>
    <w:rsid w:val="00D875C7"/>
    <w:rsid w:val="00D8775D"/>
    <w:rsid w:val="00D877BB"/>
    <w:rsid w:val="00D87E95"/>
    <w:rsid w:val="00D90086"/>
    <w:rsid w:val="00D90BA3"/>
    <w:rsid w:val="00D913B9"/>
    <w:rsid w:val="00D927E3"/>
    <w:rsid w:val="00D92918"/>
    <w:rsid w:val="00D93636"/>
    <w:rsid w:val="00D942AB"/>
    <w:rsid w:val="00D95F65"/>
    <w:rsid w:val="00D96608"/>
    <w:rsid w:val="00DA05DF"/>
    <w:rsid w:val="00DA064A"/>
    <w:rsid w:val="00DA0DDB"/>
    <w:rsid w:val="00DA16B7"/>
    <w:rsid w:val="00DA227E"/>
    <w:rsid w:val="00DA27DF"/>
    <w:rsid w:val="00DA2EE1"/>
    <w:rsid w:val="00DA3139"/>
    <w:rsid w:val="00DA31DD"/>
    <w:rsid w:val="00DA36DB"/>
    <w:rsid w:val="00DA3B9F"/>
    <w:rsid w:val="00DA477A"/>
    <w:rsid w:val="00DA4BA2"/>
    <w:rsid w:val="00DA4BEB"/>
    <w:rsid w:val="00DA54DE"/>
    <w:rsid w:val="00DA565E"/>
    <w:rsid w:val="00DA56FD"/>
    <w:rsid w:val="00DA5892"/>
    <w:rsid w:val="00DA5E88"/>
    <w:rsid w:val="00DA7752"/>
    <w:rsid w:val="00DA7AEA"/>
    <w:rsid w:val="00DB0FDF"/>
    <w:rsid w:val="00DB1273"/>
    <w:rsid w:val="00DB202E"/>
    <w:rsid w:val="00DB2455"/>
    <w:rsid w:val="00DB37D9"/>
    <w:rsid w:val="00DB4023"/>
    <w:rsid w:val="00DB42A9"/>
    <w:rsid w:val="00DB4B86"/>
    <w:rsid w:val="00DB60ED"/>
    <w:rsid w:val="00DB7FA8"/>
    <w:rsid w:val="00DC00B2"/>
    <w:rsid w:val="00DC0749"/>
    <w:rsid w:val="00DC13F8"/>
    <w:rsid w:val="00DC2BD4"/>
    <w:rsid w:val="00DC2C7E"/>
    <w:rsid w:val="00DC2D86"/>
    <w:rsid w:val="00DC305C"/>
    <w:rsid w:val="00DC39D3"/>
    <w:rsid w:val="00DC423E"/>
    <w:rsid w:val="00DC45A0"/>
    <w:rsid w:val="00DC46E6"/>
    <w:rsid w:val="00DC4DAB"/>
    <w:rsid w:val="00DC4DEF"/>
    <w:rsid w:val="00DC558A"/>
    <w:rsid w:val="00DC5D45"/>
    <w:rsid w:val="00DC64EF"/>
    <w:rsid w:val="00DC6B5A"/>
    <w:rsid w:val="00DC6BA2"/>
    <w:rsid w:val="00DC708D"/>
    <w:rsid w:val="00DC753D"/>
    <w:rsid w:val="00DC7A7D"/>
    <w:rsid w:val="00DC7E10"/>
    <w:rsid w:val="00DD0BCE"/>
    <w:rsid w:val="00DD116E"/>
    <w:rsid w:val="00DD1E5F"/>
    <w:rsid w:val="00DD3687"/>
    <w:rsid w:val="00DD46EA"/>
    <w:rsid w:val="00DD68C3"/>
    <w:rsid w:val="00DD7044"/>
    <w:rsid w:val="00DD71B4"/>
    <w:rsid w:val="00DD76DA"/>
    <w:rsid w:val="00DE01A6"/>
    <w:rsid w:val="00DE0E04"/>
    <w:rsid w:val="00DE0FB9"/>
    <w:rsid w:val="00DE1E76"/>
    <w:rsid w:val="00DE214A"/>
    <w:rsid w:val="00DE240B"/>
    <w:rsid w:val="00DE2A1D"/>
    <w:rsid w:val="00DE31FE"/>
    <w:rsid w:val="00DE49AB"/>
    <w:rsid w:val="00DE4B3C"/>
    <w:rsid w:val="00DE4C21"/>
    <w:rsid w:val="00DE4FC1"/>
    <w:rsid w:val="00DE5428"/>
    <w:rsid w:val="00DE59EA"/>
    <w:rsid w:val="00DE627B"/>
    <w:rsid w:val="00DE6C08"/>
    <w:rsid w:val="00DE6F8E"/>
    <w:rsid w:val="00DE745C"/>
    <w:rsid w:val="00DE79AF"/>
    <w:rsid w:val="00DE7A7C"/>
    <w:rsid w:val="00DE7EC9"/>
    <w:rsid w:val="00DF0C8D"/>
    <w:rsid w:val="00DF113C"/>
    <w:rsid w:val="00DF178C"/>
    <w:rsid w:val="00DF1A5C"/>
    <w:rsid w:val="00DF253F"/>
    <w:rsid w:val="00DF2DD0"/>
    <w:rsid w:val="00DF2F68"/>
    <w:rsid w:val="00DF3614"/>
    <w:rsid w:val="00DF38BA"/>
    <w:rsid w:val="00DF3B2E"/>
    <w:rsid w:val="00DF3D1E"/>
    <w:rsid w:val="00DF4913"/>
    <w:rsid w:val="00DF4A22"/>
    <w:rsid w:val="00DF5AF8"/>
    <w:rsid w:val="00DF6168"/>
    <w:rsid w:val="00DF6257"/>
    <w:rsid w:val="00DF727E"/>
    <w:rsid w:val="00DF7288"/>
    <w:rsid w:val="00DF73A4"/>
    <w:rsid w:val="00DF764E"/>
    <w:rsid w:val="00DF7F11"/>
    <w:rsid w:val="00DF7FA8"/>
    <w:rsid w:val="00E0005D"/>
    <w:rsid w:val="00E0042C"/>
    <w:rsid w:val="00E00C5A"/>
    <w:rsid w:val="00E017C4"/>
    <w:rsid w:val="00E017FD"/>
    <w:rsid w:val="00E01AF2"/>
    <w:rsid w:val="00E02109"/>
    <w:rsid w:val="00E02831"/>
    <w:rsid w:val="00E02EEC"/>
    <w:rsid w:val="00E03A66"/>
    <w:rsid w:val="00E043EF"/>
    <w:rsid w:val="00E0445E"/>
    <w:rsid w:val="00E047E5"/>
    <w:rsid w:val="00E04DDD"/>
    <w:rsid w:val="00E05FB8"/>
    <w:rsid w:val="00E06682"/>
    <w:rsid w:val="00E06F0B"/>
    <w:rsid w:val="00E06F55"/>
    <w:rsid w:val="00E07C37"/>
    <w:rsid w:val="00E10149"/>
    <w:rsid w:val="00E10241"/>
    <w:rsid w:val="00E10DC1"/>
    <w:rsid w:val="00E110CC"/>
    <w:rsid w:val="00E11D93"/>
    <w:rsid w:val="00E120A2"/>
    <w:rsid w:val="00E1239A"/>
    <w:rsid w:val="00E12EC5"/>
    <w:rsid w:val="00E13166"/>
    <w:rsid w:val="00E135C1"/>
    <w:rsid w:val="00E1401C"/>
    <w:rsid w:val="00E14317"/>
    <w:rsid w:val="00E14786"/>
    <w:rsid w:val="00E1491F"/>
    <w:rsid w:val="00E14E62"/>
    <w:rsid w:val="00E165F4"/>
    <w:rsid w:val="00E17827"/>
    <w:rsid w:val="00E178DD"/>
    <w:rsid w:val="00E17F42"/>
    <w:rsid w:val="00E20DBD"/>
    <w:rsid w:val="00E21006"/>
    <w:rsid w:val="00E210B4"/>
    <w:rsid w:val="00E2120A"/>
    <w:rsid w:val="00E2223D"/>
    <w:rsid w:val="00E22800"/>
    <w:rsid w:val="00E23057"/>
    <w:rsid w:val="00E23AED"/>
    <w:rsid w:val="00E24576"/>
    <w:rsid w:val="00E24940"/>
    <w:rsid w:val="00E25037"/>
    <w:rsid w:val="00E25981"/>
    <w:rsid w:val="00E25BF2"/>
    <w:rsid w:val="00E25D2F"/>
    <w:rsid w:val="00E26029"/>
    <w:rsid w:val="00E26728"/>
    <w:rsid w:val="00E26BDB"/>
    <w:rsid w:val="00E2726C"/>
    <w:rsid w:val="00E27506"/>
    <w:rsid w:val="00E302CF"/>
    <w:rsid w:val="00E305F4"/>
    <w:rsid w:val="00E30789"/>
    <w:rsid w:val="00E31815"/>
    <w:rsid w:val="00E31E14"/>
    <w:rsid w:val="00E322C1"/>
    <w:rsid w:val="00E32451"/>
    <w:rsid w:val="00E32C6E"/>
    <w:rsid w:val="00E32EBB"/>
    <w:rsid w:val="00E34763"/>
    <w:rsid w:val="00E34AB1"/>
    <w:rsid w:val="00E34EF9"/>
    <w:rsid w:val="00E34F38"/>
    <w:rsid w:val="00E3559F"/>
    <w:rsid w:val="00E355E3"/>
    <w:rsid w:val="00E35803"/>
    <w:rsid w:val="00E35997"/>
    <w:rsid w:val="00E35AB1"/>
    <w:rsid w:val="00E3622A"/>
    <w:rsid w:val="00E372E9"/>
    <w:rsid w:val="00E375A9"/>
    <w:rsid w:val="00E37840"/>
    <w:rsid w:val="00E4091B"/>
    <w:rsid w:val="00E40A81"/>
    <w:rsid w:val="00E40C54"/>
    <w:rsid w:val="00E41216"/>
    <w:rsid w:val="00E41A16"/>
    <w:rsid w:val="00E420AB"/>
    <w:rsid w:val="00E446BD"/>
    <w:rsid w:val="00E44D8A"/>
    <w:rsid w:val="00E4581F"/>
    <w:rsid w:val="00E46A6E"/>
    <w:rsid w:val="00E47694"/>
    <w:rsid w:val="00E476BE"/>
    <w:rsid w:val="00E476DB"/>
    <w:rsid w:val="00E47941"/>
    <w:rsid w:val="00E5066A"/>
    <w:rsid w:val="00E50B01"/>
    <w:rsid w:val="00E51C8F"/>
    <w:rsid w:val="00E51DE3"/>
    <w:rsid w:val="00E52E4C"/>
    <w:rsid w:val="00E532D9"/>
    <w:rsid w:val="00E53C8F"/>
    <w:rsid w:val="00E54E65"/>
    <w:rsid w:val="00E5602C"/>
    <w:rsid w:val="00E56296"/>
    <w:rsid w:val="00E56445"/>
    <w:rsid w:val="00E56618"/>
    <w:rsid w:val="00E57008"/>
    <w:rsid w:val="00E574E1"/>
    <w:rsid w:val="00E579BE"/>
    <w:rsid w:val="00E579DF"/>
    <w:rsid w:val="00E600FC"/>
    <w:rsid w:val="00E60566"/>
    <w:rsid w:val="00E60F31"/>
    <w:rsid w:val="00E61900"/>
    <w:rsid w:val="00E61F2E"/>
    <w:rsid w:val="00E62ED8"/>
    <w:rsid w:val="00E638B2"/>
    <w:rsid w:val="00E64500"/>
    <w:rsid w:val="00E64591"/>
    <w:rsid w:val="00E64E90"/>
    <w:rsid w:val="00E64EAE"/>
    <w:rsid w:val="00E65161"/>
    <w:rsid w:val="00E65C65"/>
    <w:rsid w:val="00E66098"/>
    <w:rsid w:val="00E6671C"/>
    <w:rsid w:val="00E66DC1"/>
    <w:rsid w:val="00E6729C"/>
    <w:rsid w:val="00E67874"/>
    <w:rsid w:val="00E67AF7"/>
    <w:rsid w:val="00E67DCE"/>
    <w:rsid w:val="00E70068"/>
    <w:rsid w:val="00E7168B"/>
    <w:rsid w:val="00E71F4A"/>
    <w:rsid w:val="00E7309E"/>
    <w:rsid w:val="00E732E0"/>
    <w:rsid w:val="00E7385D"/>
    <w:rsid w:val="00E73B77"/>
    <w:rsid w:val="00E74E89"/>
    <w:rsid w:val="00E75A78"/>
    <w:rsid w:val="00E75F01"/>
    <w:rsid w:val="00E768AB"/>
    <w:rsid w:val="00E77EA9"/>
    <w:rsid w:val="00E8263E"/>
    <w:rsid w:val="00E82FF5"/>
    <w:rsid w:val="00E83613"/>
    <w:rsid w:val="00E841E5"/>
    <w:rsid w:val="00E85331"/>
    <w:rsid w:val="00E868E6"/>
    <w:rsid w:val="00E906A1"/>
    <w:rsid w:val="00E90806"/>
    <w:rsid w:val="00E90D97"/>
    <w:rsid w:val="00E91057"/>
    <w:rsid w:val="00E9158C"/>
    <w:rsid w:val="00E923FA"/>
    <w:rsid w:val="00E925B2"/>
    <w:rsid w:val="00E932BB"/>
    <w:rsid w:val="00E933F5"/>
    <w:rsid w:val="00E93FB6"/>
    <w:rsid w:val="00E94220"/>
    <w:rsid w:val="00E94837"/>
    <w:rsid w:val="00E948FB"/>
    <w:rsid w:val="00E9516F"/>
    <w:rsid w:val="00E95F99"/>
    <w:rsid w:val="00E9637B"/>
    <w:rsid w:val="00E9677A"/>
    <w:rsid w:val="00E96D1B"/>
    <w:rsid w:val="00E97346"/>
    <w:rsid w:val="00EA0553"/>
    <w:rsid w:val="00EA0ACD"/>
    <w:rsid w:val="00EA1000"/>
    <w:rsid w:val="00EA16B1"/>
    <w:rsid w:val="00EA20F4"/>
    <w:rsid w:val="00EA214B"/>
    <w:rsid w:val="00EA21C4"/>
    <w:rsid w:val="00EA2308"/>
    <w:rsid w:val="00EA2AF5"/>
    <w:rsid w:val="00EA304E"/>
    <w:rsid w:val="00EA3B95"/>
    <w:rsid w:val="00EA3CB6"/>
    <w:rsid w:val="00EA420E"/>
    <w:rsid w:val="00EA45C4"/>
    <w:rsid w:val="00EA5B73"/>
    <w:rsid w:val="00EA64F3"/>
    <w:rsid w:val="00EA68B7"/>
    <w:rsid w:val="00EA7A82"/>
    <w:rsid w:val="00EB04F8"/>
    <w:rsid w:val="00EB0840"/>
    <w:rsid w:val="00EB0C8F"/>
    <w:rsid w:val="00EB0E14"/>
    <w:rsid w:val="00EB2E5F"/>
    <w:rsid w:val="00EB3CA8"/>
    <w:rsid w:val="00EB3F80"/>
    <w:rsid w:val="00EB44B8"/>
    <w:rsid w:val="00EB4F90"/>
    <w:rsid w:val="00EB537A"/>
    <w:rsid w:val="00EB6353"/>
    <w:rsid w:val="00EB6A2E"/>
    <w:rsid w:val="00EB7237"/>
    <w:rsid w:val="00EC01C8"/>
    <w:rsid w:val="00EC042F"/>
    <w:rsid w:val="00EC0C87"/>
    <w:rsid w:val="00EC123E"/>
    <w:rsid w:val="00EC1F64"/>
    <w:rsid w:val="00EC2137"/>
    <w:rsid w:val="00EC2208"/>
    <w:rsid w:val="00EC23B3"/>
    <w:rsid w:val="00EC272C"/>
    <w:rsid w:val="00EC299C"/>
    <w:rsid w:val="00EC30F0"/>
    <w:rsid w:val="00EC31B0"/>
    <w:rsid w:val="00EC3506"/>
    <w:rsid w:val="00EC362A"/>
    <w:rsid w:val="00EC4086"/>
    <w:rsid w:val="00EC40C6"/>
    <w:rsid w:val="00EC474B"/>
    <w:rsid w:val="00EC57D4"/>
    <w:rsid w:val="00EC5D4E"/>
    <w:rsid w:val="00EC6711"/>
    <w:rsid w:val="00EC67D1"/>
    <w:rsid w:val="00EC729D"/>
    <w:rsid w:val="00EC7389"/>
    <w:rsid w:val="00ED03B3"/>
    <w:rsid w:val="00ED1180"/>
    <w:rsid w:val="00ED1840"/>
    <w:rsid w:val="00ED22A1"/>
    <w:rsid w:val="00ED28A6"/>
    <w:rsid w:val="00ED2BFB"/>
    <w:rsid w:val="00ED2F13"/>
    <w:rsid w:val="00ED332E"/>
    <w:rsid w:val="00ED3AE6"/>
    <w:rsid w:val="00ED3D32"/>
    <w:rsid w:val="00ED41FF"/>
    <w:rsid w:val="00ED6A70"/>
    <w:rsid w:val="00ED6FE6"/>
    <w:rsid w:val="00ED73A5"/>
    <w:rsid w:val="00ED7D52"/>
    <w:rsid w:val="00ED7F5B"/>
    <w:rsid w:val="00EE03CE"/>
    <w:rsid w:val="00EE17B8"/>
    <w:rsid w:val="00EE1AE2"/>
    <w:rsid w:val="00EE1E7F"/>
    <w:rsid w:val="00EE2AAF"/>
    <w:rsid w:val="00EE3EEA"/>
    <w:rsid w:val="00EE40F1"/>
    <w:rsid w:val="00EE427B"/>
    <w:rsid w:val="00EE481C"/>
    <w:rsid w:val="00EE4E6C"/>
    <w:rsid w:val="00EE52D8"/>
    <w:rsid w:val="00EE52DA"/>
    <w:rsid w:val="00EE55DB"/>
    <w:rsid w:val="00EE5A5B"/>
    <w:rsid w:val="00EE6004"/>
    <w:rsid w:val="00EE66AA"/>
    <w:rsid w:val="00EE677B"/>
    <w:rsid w:val="00EE7438"/>
    <w:rsid w:val="00EE7F0C"/>
    <w:rsid w:val="00EF04B9"/>
    <w:rsid w:val="00EF0B37"/>
    <w:rsid w:val="00EF2A70"/>
    <w:rsid w:val="00EF37D7"/>
    <w:rsid w:val="00EF42FE"/>
    <w:rsid w:val="00EF572B"/>
    <w:rsid w:val="00EF5AFB"/>
    <w:rsid w:val="00EF5B1C"/>
    <w:rsid w:val="00EF6825"/>
    <w:rsid w:val="00EF68E7"/>
    <w:rsid w:val="00EF7499"/>
    <w:rsid w:val="00F00377"/>
    <w:rsid w:val="00F0066B"/>
    <w:rsid w:val="00F00DC0"/>
    <w:rsid w:val="00F00DE2"/>
    <w:rsid w:val="00F01EF1"/>
    <w:rsid w:val="00F021D3"/>
    <w:rsid w:val="00F023DB"/>
    <w:rsid w:val="00F02CD8"/>
    <w:rsid w:val="00F0442C"/>
    <w:rsid w:val="00F04ADC"/>
    <w:rsid w:val="00F05130"/>
    <w:rsid w:val="00F05F7D"/>
    <w:rsid w:val="00F065E3"/>
    <w:rsid w:val="00F06987"/>
    <w:rsid w:val="00F0712C"/>
    <w:rsid w:val="00F07673"/>
    <w:rsid w:val="00F07719"/>
    <w:rsid w:val="00F1014F"/>
    <w:rsid w:val="00F1075B"/>
    <w:rsid w:val="00F10ACC"/>
    <w:rsid w:val="00F10D96"/>
    <w:rsid w:val="00F10EAF"/>
    <w:rsid w:val="00F1272A"/>
    <w:rsid w:val="00F1313D"/>
    <w:rsid w:val="00F13B8F"/>
    <w:rsid w:val="00F13D69"/>
    <w:rsid w:val="00F13F89"/>
    <w:rsid w:val="00F1413A"/>
    <w:rsid w:val="00F142C1"/>
    <w:rsid w:val="00F14C01"/>
    <w:rsid w:val="00F16DDA"/>
    <w:rsid w:val="00F16F97"/>
    <w:rsid w:val="00F17345"/>
    <w:rsid w:val="00F17389"/>
    <w:rsid w:val="00F175EF"/>
    <w:rsid w:val="00F1772F"/>
    <w:rsid w:val="00F215DF"/>
    <w:rsid w:val="00F21A08"/>
    <w:rsid w:val="00F21C01"/>
    <w:rsid w:val="00F21DFA"/>
    <w:rsid w:val="00F21F64"/>
    <w:rsid w:val="00F2203F"/>
    <w:rsid w:val="00F2204A"/>
    <w:rsid w:val="00F22477"/>
    <w:rsid w:val="00F22573"/>
    <w:rsid w:val="00F22A53"/>
    <w:rsid w:val="00F2337B"/>
    <w:rsid w:val="00F257C2"/>
    <w:rsid w:val="00F25F15"/>
    <w:rsid w:val="00F2632A"/>
    <w:rsid w:val="00F2686E"/>
    <w:rsid w:val="00F26D16"/>
    <w:rsid w:val="00F270B6"/>
    <w:rsid w:val="00F27495"/>
    <w:rsid w:val="00F309B9"/>
    <w:rsid w:val="00F31542"/>
    <w:rsid w:val="00F31CF5"/>
    <w:rsid w:val="00F31D79"/>
    <w:rsid w:val="00F325F6"/>
    <w:rsid w:val="00F33EDA"/>
    <w:rsid w:val="00F34A6C"/>
    <w:rsid w:val="00F352C0"/>
    <w:rsid w:val="00F35C05"/>
    <w:rsid w:val="00F36837"/>
    <w:rsid w:val="00F37A26"/>
    <w:rsid w:val="00F37D3E"/>
    <w:rsid w:val="00F401BE"/>
    <w:rsid w:val="00F406C5"/>
    <w:rsid w:val="00F40CCB"/>
    <w:rsid w:val="00F40F41"/>
    <w:rsid w:val="00F4173A"/>
    <w:rsid w:val="00F424E4"/>
    <w:rsid w:val="00F42A9A"/>
    <w:rsid w:val="00F438DD"/>
    <w:rsid w:val="00F439CD"/>
    <w:rsid w:val="00F43A95"/>
    <w:rsid w:val="00F44B9C"/>
    <w:rsid w:val="00F45234"/>
    <w:rsid w:val="00F45F99"/>
    <w:rsid w:val="00F4726E"/>
    <w:rsid w:val="00F47721"/>
    <w:rsid w:val="00F4788D"/>
    <w:rsid w:val="00F51497"/>
    <w:rsid w:val="00F51E97"/>
    <w:rsid w:val="00F51F2B"/>
    <w:rsid w:val="00F5280F"/>
    <w:rsid w:val="00F52B01"/>
    <w:rsid w:val="00F52FFC"/>
    <w:rsid w:val="00F533CB"/>
    <w:rsid w:val="00F5352B"/>
    <w:rsid w:val="00F5357B"/>
    <w:rsid w:val="00F537C5"/>
    <w:rsid w:val="00F540EA"/>
    <w:rsid w:val="00F54A2F"/>
    <w:rsid w:val="00F5545D"/>
    <w:rsid w:val="00F5606D"/>
    <w:rsid w:val="00F562BE"/>
    <w:rsid w:val="00F579B3"/>
    <w:rsid w:val="00F57B9C"/>
    <w:rsid w:val="00F57EAF"/>
    <w:rsid w:val="00F60FE5"/>
    <w:rsid w:val="00F617C6"/>
    <w:rsid w:val="00F6285E"/>
    <w:rsid w:val="00F62C1F"/>
    <w:rsid w:val="00F62DC7"/>
    <w:rsid w:val="00F646E1"/>
    <w:rsid w:val="00F64F8E"/>
    <w:rsid w:val="00F65BE1"/>
    <w:rsid w:val="00F65D62"/>
    <w:rsid w:val="00F6647B"/>
    <w:rsid w:val="00F66790"/>
    <w:rsid w:val="00F66CDB"/>
    <w:rsid w:val="00F6764C"/>
    <w:rsid w:val="00F67998"/>
    <w:rsid w:val="00F67A97"/>
    <w:rsid w:val="00F70430"/>
    <w:rsid w:val="00F7051B"/>
    <w:rsid w:val="00F70737"/>
    <w:rsid w:val="00F7107D"/>
    <w:rsid w:val="00F7119F"/>
    <w:rsid w:val="00F71323"/>
    <w:rsid w:val="00F72641"/>
    <w:rsid w:val="00F733A4"/>
    <w:rsid w:val="00F73545"/>
    <w:rsid w:val="00F73BCF"/>
    <w:rsid w:val="00F749B9"/>
    <w:rsid w:val="00F750E0"/>
    <w:rsid w:val="00F765B0"/>
    <w:rsid w:val="00F7767B"/>
    <w:rsid w:val="00F80EC3"/>
    <w:rsid w:val="00F819AE"/>
    <w:rsid w:val="00F82DA9"/>
    <w:rsid w:val="00F83479"/>
    <w:rsid w:val="00F83D05"/>
    <w:rsid w:val="00F83EAF"/>
    <w:rsid w:val="00F84B98"/>
    <w:rsid w:val="00F84DAB"/>
    <w:rsid w:val="00F85BAE"/>
    <w:rsid w:val="00F864FE"/>
    <w:rsid w:val="00F86B92"/>
    <w:rsid w:val="00F87F3C"/>
    <w:rsid w:val="00F9037C"/>
    <w:rsid w:val="00F90623"/>
    <w:rsid w:val="00F91662"/>
    <w:rsid w:val="00F919E7"/>
    <w:rsid w:val="00F93A16"/>
    <w:rsid w:val="00F94ABC"/>
    <w:rsid w:val="00F9588B"/>
    <w:rsid w:val="00F95950"/>
    <w:rsid w:val="00F95A01"/>
    <w:rsid w:val="00F95D17"/>
    <w:rsid w:val="00F96050"/>
    <w:rsid w:val="00F96247"/>
    <w:rsid w:val="00F9681E"/>
    <w:rsid w:val="00F979F7"/>
    <w:rsid w:val="00FA0252"/>
    <w:rsid w:val="00FA02BD"/>
    <w:rsid w:val="00FA0F32"/>
    <w:rsid w:val="00FA2980"/>
    <w:rsid w:val="00FA32C4"/>
    <w:rsid w:val="00FA3876"/>
    <w:rsid w:val="00FA38F8"/>
    <w:rsid w:val="00FA42C8"/>
    <w:rsid w:val="00FA47F0"/>
    <w:rsid w:val="00FA4A0C"/>
    <w:rsid w:val="00FA549D"/>
    <w:rsid w:val="00FA5B36"/>
    <w:rsid w:val="00FA6C36"/>
    <w:rsid w:val="00FA7CFC"/>
    <w:rsid w:val="00FB06EC"/>
    <w:rsid w:val="00FB0821"/>
    <w:rsid w:val="00FB0B8D"/>
    <w:rsid w:val="00FB0D46"/>
    <w:rsid w:val="00FB157E"/>
    <w:rsid w:val="00FB180D"/>
    <w:rsid w:val="00FB2068"/>
    <w:rsid w:val="00FB2931"/>
    <w:rsid w:val="00FB38D1"/>
    <w:rsid w:val="00FB3B42"/>
    <w:rsid w:val="00FB405F"/>
    <w:rsid w:val="00FB4252"/>
    <w:rsid w:val="00FB43B0"/>
    <w:rsid w:val="00FB4708"/>
    <w:rsid w:val="00FB47BA"/>
    <w:rsid w:val="00FB4A6B"/>
    <w:rsid w:val="00FB4CF8"/>
    <w:rsid w:val="00FB64F6"/>
    <w:rsid w:val="00FB658D"/>
    <w:rsid w:val="00FC10C5"/>
    <w:rsid w:val="00FC140E"/>
    <w:rsid w:val="00FC2705"/>
    <w:rsid w:val="00FC2795"/>
    <w:rsid w:val="00FC2AF1"/>
    <w:rsid w:val="00FC37FD"/>
    <w:rsid w:val="00FC3DC3"/>
    <w:rsid w:val="00FC4062"/>
    <w:rsid w:val="00FC4A29"/>
    <w:rsid w:val="00FC4DA4"/>
    <w:rsid w:val="00FC537C"/>
    <w:rsid w:val="00FC5929"/>
    <w:rsid w:val="00FC65FF"/>
    <w:rsid w:val="00FC79CA"/>
    <w:rsid w:val="00FC7B7D"/>
    <w:rsid w:val="00FC7E2F"/>
    <w:rsid w:val="00FD02A5"/>
    <w:rsid w:val="00FD0415"/>
    <w:rsid w:val="00FD05E9"/>
    <w:rsid w:val="00FD070D"/>
    <w:rsid w:val="00FD0E83"/>
    <w:rsid w:val="00FD123E"/>
    <w:rsid w:val="00FD1B59"/>
    <w:rsid w:val="00FD3827"/>
    <w:rsid w:val="00FD3883"/>
    <w:rsid w:val="00FD45DC"/>
    <w:rsid w:val="00FD45EA"/>
    <w:rsid w:val="00FD4D5D"/>
    <w:rsid w:val="00FD54A3"/>
    <w:rsid w:val="00FD672D"/>
    <w:rsid w:val="00FD6A08"/>
    <w:rsid w:val="00FD79B4"/>
    <w:rsid w:val="00FD79E4"/>
    <w:rsid w:val="00FE000C"/>
    <w:rsid w:val="00FE0394"/>
    <w:rsid w:val="00FE03EA"/>
    <w:rsid w:val="00FE188F"/>
    <w:rsid w:val="00FE29F3"/>
    <w:rsid w:val="00FE2DE8"/>
    <w:rsid w:val="00FE3693"/>
    <w:rsid w:val="00FE42BE"/>
    <w:rsid w:val="00FE4330"/>
    <w:rsid w:val="00FE4397"/>
    <w:rsid w:val="00FE4568"/>
    <w:rsid w:val="00FE45DE"/>
    <w:rsid w:val="00FE4D0A"/>
    <w:rsid w:val="00FE566C"/>
    <w:rsid w:val="00FE5807"/>
    <w:rsid w:val="00FE62FC"/>
    <w:rsid w:val="00FE63E6"/>
    <w:rsid w:val="00FE6431"/>
    <w:rsid w:val="00FE754B"/>
    <w:rsid w:val="00FE7890"/>
    <w:rsid w:val="00FE792A"/>
    <w:rsid w:val="00FE7A89"/>
    <w:rsid w:val="00FF03F5"/>
    <w:rsid w:val="00FF083D"/>
    <w:rsid w:val="00FF10AF"/>
    <w:rsid w:val="00FF19C6"/>
    <w:rsid w:val="00FF28C9"/>
    <w:rsid w:val="00FF31A9"/>
    <w:rsid w:val="00FF4945"/>
    <w:rsid w:val="00FF588B"/>
    <w:rsid w:val="00FF5BFA"/>
    <w:rsid w:val="00FF6994"/>
    <w:rsid w:val="00FF699E"/>
    <w:rsid w:val="00FF7677"/>
    <w:rsid w:val="00FF7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6B57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B57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B57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B5753"/>
    <w:pPr>
      <w:keepNext/>
      <w:spacing w:before="240" w:after="60"/>
      <w:outlineLvl w:val="3"/>
    </w:pPr>
    <w:rPr>
      <w:b/>
      <w:bCs/>
      <w:sz w:val="28"/>
      <w:szCs w:val="28"/>
    </w:rPr>
  </w:style>
  <w:style w:type="paragraph" w:styleId="Heading5">
    <w:name w:val="heading 5"/>
    <w:basedOn w:val="Normal"/>
    <w:next w:val="Normal"/>
    <w:link w:val="Heading5Char"/>
    <w:uiPriority w:val="99"/>
    <w:qFormat/>
    <w:rsid w:val="006B5753"/>
    <w:pPr>
      <w:keepNext/>
      <w:spacing w:line="480" w:lineRule="auto"/>
      <w:ind w:right="-180"/>
      <w:jc w:val="center"/>
      <w:outlineLvl w:val="4"/>
    </w:pPr>
    <w:rPr>
      <w:rFonts w:ascii="Arial" w:hAnsi="Arial"/>
    </w:rPr>
  </w:style>
  <w:style w:type="paragraph" w:styleId="Heading6">
    <w:name w:val="heading 6"/>
    <w:basedOn w:val="Normal"/>
    <w:next w:val="Normal"/>
    <w:link w:val="Heading6Char"/>
    <w:uiPriority w:val="99"/>
    <w:qFormat/>
    <w:rsid w:val="006B5753"/>
    <w:pPr>
      <w:keepNext/>
      <w:spacing w:line="480" w:lineRule="auto"/>
      <w:ind w:right="-180"/>
      <w:jc w:val="center"/>
      <w:outlineLvl w:val="5"/>
    </w:pPr>
    <w:rPr>
      <w:rFonts w:ascii="Arial" w:hAnsi="Arial"/>
      <w:i/>
    </w:rPr>
  </w:style>
  <w:style w:type="paragraph" w:styleId="Heading7">
    <w:name w:val="heading 7"/>
    <w:basedOn w:val="Normal"/>
    <w:next w:val="Normal"/>
    <w:link w:val="Heading7Char"/>
    <w:uiPriority w:val="99"/>
    <w:qFormat/>
    <w:rsid w:val="006B5753"/>
    <w:pPr>
      <w:keepNext/>
      <w:ind w:right="-187"/>
      <w:jc w:val="center"/>
      <w:outlineLvl w:val="6"/>
    </w:pPr>
    <w:rPr>
      <w:b/>
    </w:rPr>
  </w:style>
  <w:style w:type="paragraph" w:styleId="Heading8">
    <w:name w:val="heading 8"/>
    <w:basedOn w:val="Normal"/>
    <w:next w:val="Normal"/>
    <w:link w:val="Heading8Char"/>
    <w:uiPriority w:val="99"/>
    <w:qFormat/>
    <w:rsid w:val="006B5753"/>
    <w:pPr>
      <w:keepNext/>
      <w:spacing w:line="480" w:lineRule="auto"/>
      <w:ind w:right="-187"/>
      <w:jc w:val="center"/>
      <w:outlineLvl w:val="7"/>
    </w:pPr>
    <w:rPr>
      <w:rFonts w:ascii="Arial" w:hAnsi="Arial"/>
    </w:rPr>
  </w:style>
  <w:style w:type="paragraph" w:styleId="Heading9">
    <w:name w:val="heading 9"/>
    <w:basedOn w:val="Normal"/>
    <w:next w:val="Normal"/>
    <w:link w:val="Heading9Char"/>
    <w:uiPriority w:val="99"/>
    <w:qFormat/>
    <w:rsid w:val="006B5753"/>
    <w:pPr>
      <w:keepNext/>
      <w:spacing w:line="480" w:lineRule="auto"/>
      <w:ind w:right="-187"/>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575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6B5753"/>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6B5753"/>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B575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6B5753"/>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6B5753"/>
    <w:rPr>
      <w:rFonts w:ascii="Arial" w:eastAsia="Times New Roman" w:hAnsi="Arial" w:cs="Times New Roman"/>
      <w:i/>
      <w:sz w:val="24"/>
      <w:szCs w:val="20"/>
    </w:rPr>
  </w:style>
  <w:style w:type="character" w:customStyle="1" w:styleId="Heading7Char">
    <w:name w:val="Heading 7 Char"/>
    <w:basedOn w:val="DefaultParagraphFont"/>
    <w:link w:val="Heading7"/>
    <w:uiPriority w:val="99"/>
    <w:rsid w:val="006B575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6B5753"/>
    <w:rPr>
      <w:rFonts w:ascii="Arial" w:eastAsia="Times New Roman" w:hAnsi="Arial" w:cs="Times New Roman"/>
      <w:sz w:val="24"/>
      <w:szCs w:val="20"/>
    </w:rPr>
  </w:style>
  <w:style w:type="character" w:customStyle="1" w:styleId="Heading9Char">
    <w:name w:val="Heading 9 Char"/>
    <w:basedOn w:val="DefaultParagraphFont"/>
    <w:link w:val="Heading9"/>
    <w:uiPriority w:val="99"/>
    <w:rsid w:val="006B5753"/>
    <w:rPr>
      <w:rFonts w:ascii="Arial" w:eastAsia="Times New Roman" w:hAnsi="Arial" w:cs="Times New Roman"/>
      <w:i/>
      <w:sz w:val="24"/>
      <w:szCs w:val="20"/>
    </w:rPr>
  </w:style>
  <w:style w:type="paragraph" w:styleId="BalloonText">
    <w:name w:val="Balloon Text"/>
    <w:basedOn w:val="Normal"/>
    <w:link w:val="BalloonTextChar"/>
    <w:uiPriority w:val="99"/>
    <w:semiHidden/>
    <w:rsid w:val="006B5753"/>
    <w:rPr>
      <w:rFonts w:ascii="Tahoma" w:hAnsi="Tahoma" w:cs="Tahoma"/>
      <w:sz w:val="16"/>
      <w:szCs w:val="16"/>
    </w:rPr>
  </w:style>
  <w:style w:type="character" w:customStyle="1" w:styleId="BalloonTextChar">
    <w:name w:val="Balloon Text Char"/>
    <w:basedOn w:val="DefaultParagraphFont"/>
    <w:link w:val="BalloonText"/>
    <w:uiPriority w:val="99"/>
    <w:semiHidden/>
    <w:rsid w:val="006B5753"/>
    <w:rPr>
      <w:rFonts w:ascii="Tahoma" w:eastAsia="Times New Roman" w:hAnsi="Tahoma" w:cs="Tahoma"/>
      <w:sz w:val="16"/>
      <w:szCs w:val="16"/>
    </w:rPr>
  </w:style>
  <w:style w:type="paragraph" w:styleId="FootnoteText">
    <w:name w:val="footnote text"/>
    <w:basedOn w:val="Normal"/>
    <w:link w:val="FootnoteTextChar"/>
    <w:rsid w:val="006B5753"/>
    <w:rPr>
      <w:sz w:val="20"/>
    </w:rPr>
  </w:style>
  <w:style w:type="character" w:customStyle="1" w:styleId="FootnoteTextChar">
    <w:name w:val="Footnote Text Char"/>
    <w:basedOn w:val="DefaultParagraphFont"/>
    <w:link w:val="FootnoteText"/>
    <w:rsid w:val="006B5753"/>
    <w:rPr>
      <w:rFonts w:ascii="Times New Roman" w:eastAsia="Times New Roman" w:hAnsi="Times New Roman" w:cs="Times New Roman"/>
      <w:sz w:val="20"/>
      <w:szCs w:val="20"/>
    </w:rPr>
  </w:style>
  <w:style w:type="character" w:styleId="FootnoteReference">
    <w:name w:val="footnote reference"/>
    <w:basedOn w:val="DefaultParagraphFont"/>
    <w:rsid w:val="006B5753"/>
    <w:rPr>
      <w:rFonts w:cs="Times New Roman"/>
      <w:vertAlign w:val="superscript"/>
    </w:rPr>
  </w:style>
  <w:style w:type="paragraph" w:customStyle="1" w:styleId="p3">
    <w:name w:val="p3"/>
    <w:basedOn w:val="Normal"/>
    <w:uiPriority w:val="99"/>
    <w:rsid w:val="006B5753"/>
    <w:pPr>
      <w:widowControl w:val="0"/>
      <w:tabs>
        <w:tab w:val="left" w:pos="204"/>
      </w:tabs>
      <w:overflowPunct/>
      <w:textAlignment w:val="auto"/>
    </w:pPr>
    <w:rPr>
      <w:szCs w:val="24"/>
    </w:rPr>
  </w:style>
  <w:style w:type="paragraph" w:customStyle="1" w:styleId="p14">
    <w:name w:val="p14"/>
    <w:basedOn w:val="Normal"/>
    <w:uiPriority w:val="99"/>
    <w:rsid w:val="006B5753"/>
    <w:pPr>
      <w:widowControl w:val="0"/>
      <w:tabs>
        <w:tab w:val="left" w:pos="204"/>
      </w:tabs>
      <w:overflowPunct/>
      <w:textAlignment w:val="auto"/>
    </w:pPr>
    <w:rPr>
      <w:szCs w:val="24"/>
    </w:rPr>
  </w:style>
  <w:style w:type="paragraph" w:customStyle="1" w:styleId="p17">
    <w:name w:val="p17"/>
    <w:basedOn w:val="Normal"/>
    <w:uiPriority w:val="99"/>
    <w:rsid w:val="006B5753"/>
    <w:pPr>
      <w:widowControl w:val="0"/>
      <w:tabs>
        <w:tab w:val="left" w:pos="5057"/>
      </w:tabs>
      <w:overflowPunct/>
      <w:ind w:left="3617"/>
      <w:textAlignment w:val="auto"/>
    </w:pPr>
    <w:rPr>
      <w:szCs w:val="24"/>
    </w:rPr>
  </w:style>
  <w:style w:type="paragraph" w:customStyle="1" w:styleId="p18">
    <w:name w:val="p18"/>
    <w:basedOn w:val="Normal"/>
    <w:uiPriority w:val="99"/>
    <w:rsid w:val="006B5753"/>
    <w:pPr>
      <w:widowControl w:val="0"/>
      <w:tabs>
        <w:tab w:val="left" w:pos="5062"/>
      </w:tabs>
      <w:overflowPunct/>
      <w:ind w:left="3622"/>
      <w:textAlignment w:val="auto"/>
    </w:pPr>
    <w:rPr>
      <w:szCs w:val="24"/>
    </w:rPr>
  </w:style>
  <w:style w:type="paragraph" w:customStyle="1" w:styleId="StyleCentered">
    <w:name w:val="Style Centered"/>
    <w:basedOn w:val="Normal"/>
    <w:uiPriority w:val="99"/>
    <w:rsid w:val="006B5753"/>
    <w:pPr>
      <w:jc w:val="center"/>
    </w:pPr>
  </w:style>
  <w:style w:type="character" w:styleId="Hyperlink">
    <w:name w:val="Hyperlink"/>
    <w:basedOn w:val="DefaultParagraphFont"/>
    <w:uiPriority w:val="99"/>
    <w:rsid w:val="006B5753"/>
    <w:rPr>
      <w:rFonts w:cs="Times New Roman"/>
      <w:color w:val="0000FF"/>
      <w:u w:val="single"/>
    </w:rPr>
  </w:style>
  <w:style w:type="character" w:styleId="CommentReference">
    <w:name w:val="annotation reference"/>
    <w:basedOn w:val="DefaultParagraphFont"/>
    <w:uiPriority w:val="99"/>
    <w:rsid w:val="006B5753"/>
    <w:rPr>
      <w:rFonts w:cs="Times New Roman"/>
      <w:sz w:val="16"/>
      <w:szCs w:val="16"/>
    </w:rPr>
  </w:style>
  <w:style w:type="paragraph" w:styleId="CommentText">
    <w:name w:val="annotation text"/>
    <w:basedOn w:val="Normal"/>
    <w:link w:val="CommentTextChar"/>
    <w:uiPriority w:val="99"/>
    <w:rsid w:val="006B5753"/>
    <w:rPr>
      <w:sz w:val="20"/>
    </w:rPr>
  </w:style>
  <w:style w:type="character" w:customStyle="1" w:styleId="CommentTextChar">
    <w:name w:val="Comment Text Char"/>
    <w:basedOn w:val="DefaultParagraphFont"/>
    <w:link w:val="CommentText"/>
    <w:uiPriority w:val="99"/>
    <w:rsid w:val="006B5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B5753"/>
    <w:rPr>
      <w:b/>
      <w:bCs/>
    </w:rPr>
  </w:style>
  <w:style w:type="character" w:customStyle="1" w:styleId="CommentSubjectChar">
    <w:name w:val="Comment Subject Char"/>
    <w:basedOn w:val="CommentTextChar"/>
    <w:link w:val="CommentSubject"/>
    <w:uiPriority w:val="99"/>
    <w:rsid w:val="006B5753"/>
    <w:rPr>
      <w:rFonts w:ascii="Times New Roman" w:eastAsia="Times New Roman" w:hAnsi="Times New Roman" w:cs="Times New Roman"/>
      <w:b/>
      <w:bCs/>
      <w:sz w:val="20"/>
      <w:szCs w:val="20"/>
    </w:rPr>
  </w:style>
  <w:style w:type="paragraph" w:styleId="ListParagraph">
    <w:name w:val="List Paragraph"/>
    <w:basedOn w:val="Normal"/>
    <w:uiPriority w:val="34"/>
    <w:qFormat/>
    <w:rsid w:val="006B5753"/>
    <w:pPr>
      <w:ind w:left="720"/>
      <w:contextualSpacing/>
    </w:pPr>
  </w:style>
  <w:style w:type="paragraph" w:styleId="Header">
    <w:name w:val="header"/>
    <w:basedOn w:val="Normal"/>
    <w:link w:val="HeaderChar"/>
    <w:uiPriority w:val="99"/>
    <w:unhideWhenUsed/>
    <w:rsid w:val="006B5753"/>
    <w:pPr>
      <w:tabs>
        <w:tab w:val="center" w:pos="4680"/>
        <w:tab w:val="right" w:pos="9360"/>
      </w:tabs>
    </w:pPr>
  </w:style>
  <w:style w:type="character" w:customStyle="1" w:styleId="HeaderChar">
    <w:name w:val="Header Char"/>
    <w:basedOn w:val="DefaultParagraphFont"/>
    <w:link w:val="Header"/>
    <w:uiPriority w:val="99"/>
    <w:rsid w:val="006B57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5753"/>
    <w:pPr>
      <w:tabs>
        <w:tab w:val="center" w:pos="4680"/>
        <w:tab w:val="right" w:pos="9360"/>
      </w:tabs>
    </w:pPr>
  </w:style>
  <w:style w:type="character" w:customStyle="1" w:styleId="FooterChar">
    <w:name w:val="Footer Char"/>
    <w:basedOn w:val="DefaultParagraphFont"/>
    <w:link w:val="Footer"/>
    <w:uiPriority w:val="99"/>
    <w:rsid w:val="006B5753"/>
    <w:rPr>
      <w:rFonts w:ascii="Times New Roman" w:eastAsia="Times New Roman" w:hAnsi="Times New Roman" w:cs="Times New Roman"/>
      <w:sz w:val="24"/>
      <w:szCs w:val="20"/>
    </w:rPr>
  </w:style>
  <w:style w:type="character" w:styleId="PageNumber">
    <w:name w:val="page number"/>
    <w:basedOn w:val="DefaultParagraphFont"/>
    <w:uiPriority w:val="99"/>
    <w:rsid w:val="006B5753"/>
    <w:rPr>
      <w:rFonts w:cs="Times New Roman"/>
    </w:rPr>
  </w:style>
  <w:style w:type="paragraph" w:customStyle="1" w:styleId="c1">
    <w:name w:val="c1"/>
    <w:basedOn w:val="Normal"/>
    <w:uiPriority w:val="99"/>
    <w:rsid w:val="006B5753"/>
    <w:pPr>
      <w:widowControl w:val="0"/>
      <w:overflowPunct/>
      <w:jc w:val="center"/>
      <w:textAlignment w:val="auto"/>
    </w:pPr>
    <w:rPr>
      <w:szCs w:val="24"/>
    </w:rPr>
  </w:style>
  <w:style w:type="paragraph" w:customStyle="1" w:styleId="p6">
    <w:name w:val="p6"/>
    <w:basedOn w:val="Normal"/>
    <w:uiPriority w:val="99"/>
    <w:rsid w:val="006B5753"/>
    <w:pPr>
      <w:widowControl w:val="0"/>
      <w:overflowPunct/>
      <w:ind w:firstLine="742"/>
      <w:textAlignment w:val="auto"/>
    </w:pPr>
    <w:rPr>
      <w:szCs w:val="24"/>
    </w:rPr>
  </w:style>
  <w:style w:type="paragraph" w:customStyle="1" w:styleId="p8">
    <w:name w:val="p8"/>
    <w:basedOn w:val="Normal"/>
    <w:uiPriority w:val="99"/>
    <w:rsid w:val="006B5753"/>
    <w:pPr>
      <w:widowControl w:val="0"/>
      <w:tabs>
        <w:tab w:val="left" w:pos="204"/>
      </w:tabs>
      <w:overflowPunct/>
      <w:textAlignment w:val="auto"/>
    </w:pPr>
    <w:rPr>
      <w:szCs w:val="24"/>
    </w:rPr>
  </w:style>
  <w:style w:type="paragraph" w:customStyle="1" w:styleId="c9">
    <w:name w:val="c9"/>
    <w:basedOn w:val="Normal"/>
    <w:uiPriority w:val="99"/>
    <w:rsid w:val="006B5753"/>
    <w:pPr>
      <w:widowControl w:val="0"/>
      <w:overflowPunct/>
      <w:jc w:val="center"/>
      <w:textAlignment w:val="auto"/>
    </w:pPr>
    <w:rPr>
      <w:szCs w:val="24"/>
    </w:rPr>
  </w:style>
  <w:style w:type="paragraph" w:customStyle="1" w:styleId="c10">
    <w:name w:val="c10"/>
    <w:basedOn w:val="Normal"/>
    <w:uiPriority w:val="99"/>
    <w:rsid w:val="006B5753"/>
    <w:pPr>
      <w:widowControl w:val="0"/>
      <w:overflowPunct/>
      <w:jc w:val="center"/>
      <w:textAlignment w:val="auto"/>
    </w:pPr>
    <w:rPr>
      <w:szCs w:val="24"/>
    </w:rPr>
  </w:style>
  <w:style w:type="paragraph" w:customStyle="1" w:styleId="p13">
    <w:name w:val="p13"/>
    <w:basedOn w:val="Normal"/>
    <w:uiPriority w:val="99"/>
    <w:rsid w:val="006B5753"/>
    <w:pPr>
      <w:widowControl w:val="0"/>
      <w:tabs>
        <w:tab w:val="left" w:pos="742"/>
        <w:tab w:val="left" w:pos="1451"/>
      </w:tabs>
      <w:overflowPunct/>
      <w:ind w:left="742" w:firstLine="709"/>
      <w:textAlignment w:val="auto"/>
    </w:pPr>
    <w:rPr>
      <w:szCs w:val="24"/>
    </w:rPr>
  </w:style>
  <w:style w:type="paragraph" w:customStyle="1" w:styleId="p15">
    <w:name w:val="p15"/>
    <w:basedOn w:val="Normal"/>
    <w:uiPriority w:val="99"/>
    <w:rsid w:val="006B5753"/>
    <w:pPr>
      <w:widowControl w:val="0"/>
      <w:tabs>
        <w:tab w:val="left" w:pos="204"/>
      </w:tabs>
      <w:overflowPunct/>
      <w:textAlignment w:val="auto"/>
    </w:pPr>
    <w:rPr>
      <w:szCs w:val="24"/>
    </w:rPr>
  </w:style>
  <w:style w:type="paragraph" w:styleId="TOC1">
    <w:name w:val="toc 1"/>
    <w:basedOn w:val="Normal"/>
    <w:next w:val="Normal"/>
    <w:uiPriority w:val="39"/>
    <w:rsid w:val="006B5753"/>
    <w:rPr>
      <w:b/>
      <w:sz w:val="26"/>
    </w:rPr>
  </w:style>
  <w:style w:type="paragraph" w:styleId="TOC2">
    <w:name w:val="toc 2"/>
    <w:basedOn w:val="Normal"/>
    <w:next w:val="Normal"/>
    <w:uiPriority w:val="39"/>
    <w:rsid w:val="006B5753"/>
    <w:pPr>
      <w:ind w:left="240"/>
    </w:pPr>
    <w:rPr>
      <w:sz w:val="22"/>
    </w:rPr>
  </w:style>
  <w:style w:type="paragraph" w:styleId="TOC3">
    <w:name w:val="toc 3"/>
    <w:basedOn w:val="Normal"/>
    <w:next w:val="Normal"/>
    <w:uiPriority w:val="39"/>
    <w:rsid w:val="006B5753"/>
    <w:pPr>
      <w:ind w:left="480"/>
    </w:pPr>
    <w:rPr>
      <w:i/>
      <w:sz w:val="22"/>
    </w:rPr>
  </w:style>
  <w:style w:type="paragraph" w:styleId="TOC4">
    <w:name w:val="toc 4"/>
    <w:basedOn w:val="Normal"/>
    <w:next w:val="Normal"/>
    <w:uiPriority w:val="39"/>
    <w:rsid w:val="006B5753"/>
    <w:pPr>
      <w:ind w:left="720"/>
    </w:pPr>
  </w:style>
  <w:style w:type="paragraph" w:styleId="BodyText2">
    <w:name w:val="Body Text 2"/>
    <w:basedOn w:val="Normal"/>
    <w:link w:val="BodyText2Char"/>
    <w:uiPriority w:val="99"/>
    <w:rsid w:val="006B5753"/>
  </w:style>
  <w:style w:type="character" w:customStyle="1" w:styleId="BodyText2Char">
    <w:name w:val="Body Text 2 Char"/>
    <w:basedOn w:val="DefaultParagraphFont"/>
    <w:link w:val="BodyText2"/>
    <w:uiPriority w:val="99"/>
    <w:rsid w:val="006B5753"/>
    <w:rPr>
      <w:rFonts w:ascii="Times New Roman" w:eastAsia="Times New Roman" w:hAnsi="Times New Roman" w:cs="Times New Roman"/>
      <w:sz w:val="24"/>
      <w:szCs w:val="20"/>
    </w:rPr>
  </w:style>
  <w:style w:type="paragraph" w:styleId="BodyText3">
    <w:name w:val="Body Text 3"/>
    <w:basedOn w:val="Normal"/>
    <w:link w:val="BodyText3Char"/>
    <w:uiPriority w:val="99"/>
    <w:rsid w:val="006B5753"/>
    <w:pPr>
      <w:spacing w:after="120"/>
    </w:pPr>
  </w:style>
  <w:style w:type="character" w:customStyle="1" w:styleId="BodyText3Char">
    <w:name w:val="Body Text 3 Char"/>
    <w:basedOn w:val="DefaultParagraphFont"/>
    <w:link w:val="BodyText3"/>
    <w:uiPriority w:val="99"/>
    <w:rsid w:val="006B5753"/>
    <w:rPr>
      <w:rFonts w:ascii="Times New Roman" w:eastAsia="Times New Roman" w:hAnsi="Times New Roman" w:cs="Times New Roman"/>
      <w:sz w:val="24"/>
      <w:szCs w:val="20"/>
    </w:rPr>
  </w:style>
  <w:style w:type="paragraph" w:styleId="BodyText">
    <w:name w:val="Body Text"/>
    <w:basedOn w:val="Normal"/>
    <w:link w:val="BodyTextChar"/>
    <w:uiPriority w:val="99"/>
    <w:rsid w:val="006B5753"/>
    <w:pPr>
      <w:spacing w:line="480" w:lineRule="auto"/>
    </w:pPr>
    <w:rPr>
      <w:rFonts w:ascii="Arial" w:hAnsi="Arial"/>
    </w:rPr>
  </w:style>
  <w:style w:type="character" w:customStyle="1" w:styleId="BodyTextChar">
    <w:name w:val="Body Text Char"/>
    <w:basedOn w:val="DefaultParagraphFont"/>
    <w:link w:val="BodyText"/>
    <w:uiPriority w:val="99"/>
    <w:rsid w:val="006B5753"/>
    <w:rPr>
      <w:rFonts w:ascii="Arial" w:eastAsia="Times New Roman" w:hAnsi="Arial" w:cs="Times New Roman"/>
      <w:sz w:val="24"/>
      <w:szCs w:val="20"/>
    </w:rPr>
  </w:style>
  <w:style w:type="character" w:styleId="FollowedHyperlink">
    <w:name w:val="FollowedHyperlink"/>
    <w:basedOn w:val="DefaultParagraphFont"/>
    <w:uiPriority w:val="99"/>
    <w:rsid w:val="006B5753"/>
    <w:rPr>
      <w:rFonts w:cs="Times New Roman"/>
      <w:color w:val="800080"/>
      <w:u w:val="single"/>
    </w:rPr>
  </w:style>
  <w:style w:type="character" w:styleId="Strong">
    <w:name w:val="Strong"/>
    <w:basedOn w:val="DefaultParagraphFont"/>
    <w:uiPriority w:val="99"/>
    <w:qFormat/>
    <w:rsid w:val="006B5753"/>
    <w:rPr>
      <w:rFonts w:cs="Times New Roman"/>
      <w:b/>
      <w:bCs/>
    </w:rPr>
  </w:style>
  <w:style w:type="paragraph" w:styleId="BodyTextIndent">
    <w:name w:val="Body Text Indent"/>
    <w:basedOn w:val="Normal"/>
    <w:link w:val="BodyTextIndentChar"/>
    <w:uiPriority w:val="99"/>
    <w:rsid w:val="006B5753"/>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rsid w:val="006B5753"/>
    <w:rPr>
      <w:rFonts w:ascii="Times New Roman" w:eastAsia="Times New Roman" w:hAnsi="Times New Roman" w:cs="Times New Roman"/>
      <w:sz w:val="24"/>
      <w:szCs w:val="24"/>
    </w:rPr>
  </w:style>
  <w:style w:type="paragraph" w:styleId="Title">
    <w:name w:val="Title"/>
    <w:basedOn w:val="Normal"/>
    <w:link w:val="TitleChar"/>
    <w:uiPriority w:val="99"/>
    <w:qFormat/>
    <w:rsid w:val="006B5753"/>
    <w:pPr>
      <w:overflowPunct/>
      <w:autoSpaceDE/>
      <w:autoSpaceDN/>
      <w:adjustRightInd/>
      <w:jc w:val="center"/>
      <w:textAlignment w:val="auto"/>
    </w:pPr>
    <w:rPr>
      <w:b/>
    </w:rPr>
  </w:style>
  <w:style w:type="character" w:customStyle="1" w:styleId="TitleChar">
    <w:name w:val="Title Char"/>
    <w:basedOn w:val="DefaultParagraphFont"/>
    <w:link w:val="Title"/>
    <w:uiPriority w:val="99"/>
    <w:rsid w:val="006B575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6B5753"/>
    <w:pPr>
      <w:ind w:left="720"/>
    </w:pPr>
    <w:rPr>
      <w:color w:val="FF0000"/>
    </w:rPr>
  </w:style>
  <w:style w:type="character" w:customStyle="1" w:styleId="BodyTextIndent2Char">
    <w:name w:val="Body Text Indent 2 Char"/>
    <w:basedOn w:val="DefaultParagraphFont"/>
    <w:link w:val="BodyTextIndent2"/>
    <w:uiPriority w:val="99"/>
    <w:rsid w:val="006B5753"/>
    <w:rPr>
      <w:rFonts w:ascii="Times New Roman" w:eastAsia="Times New Roman" w:hAnsi="Times New Roman" w:cs="Times New Roman"/>
      <w:color w:val="FF0000"/>
      <w:sz w:val="24"/>
      <w:szCs w:val="20"/>
    </w:rPr>
  </w:style>
  <w:style w:type="paragraph" w:customStyle="1" w:styleId="font0">
    <w:name w:val="font0"/>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5">
    <w:name w:val="font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20"/>
    </w:rPr>
  </w:style>
  <w:style w:type="paragraph" w:customStyle="1" w:styleId="font6">
    <w:name w:val="font6"/>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7">
    <w:name w:val="font7"/>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i/>
      <w:iCs/>
      <w:sz w:val="20"/>
    </w:rPr>
  </w:style>
  <w:style w:type="paragraph" w:customStyle="1" w:styleId="font8">
    <w:name w:val="font8"/>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16"/>
      <w:szCs w:val="16"/>
    </w:rPr>
  </w:style>
  <w:style w:type="paragraph" w:customStyle="1" w:styleId="xl24">
    <w:name w:val="xl24"/>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5">
    <w:name w:val="xl2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6">
    <w:name w:val="xl26"/>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7">
    <w:name w:val="xl27"/>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28">
    <w:name w:val="xl28"/>
    <w:basedOn w:val="Normal"/>
    <w:uiPriority w:val="99"/>
    <w:rsid w:val="006B5753"/>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9">
    <w:name w:val="xl29"/>
    <w:basedOn w:val="Normal"/>
    <w:uiPriority w:val="99"/>
    <w:rsid w:val="006B5753"/>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0">
    <w:name w:val="xl30"/>
    <w:basedOn w:val="Normal"/>
    <w:uiPriority w:val="99"/>
    <w:rsid w:val="006B5753"/>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3">
    <w:name w:val="xl33"/>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34">
    <w:name w:val="xl34"/>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35">
    <w:name w:val="xl35"/>
    <w:basedOn w:val="Normal"/>
    <w:uiPriority w:val="99"/>
    <w:rsid w:val="006B5753"/>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6B5753"/>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8">
    <w:name w:val="xl38"/>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6B5753"/>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0">
    <w:name w:val="xl40"/>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2">
    <w:name w:val="xl42"/>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43">
    <w:name w:val="xl43"/>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44">
    <w:name w:val="xl44"/>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6B5753"/>
    <w:pPr>
      <w:overflowPunct/>
      <w:autoSpaceDE/>
      <w:autoSpaceDN/>
      <w:adjustRightInd/>
      <w:spacing w:before="100" w:beforeAutospacing="1" w:after="100" w:afterAutospacing="1"/>
      <w:jc w:val="right"/>
      <w:textAlignment w:val="auto"/>
    </w:pPr>
    <w:rPr>
      <w:rFonts w:ascii="Arial" w:eastAsia="Arial Unicode MS" w:hAnsi="Arial" w:cs="Arial"/>
      <w:b/>
      <w:bCs/>
      <w:szCs w:val="24"/>
    </w:rPr>
  </w:style>
  <w:style w:type="paragraph" w:customStyle="1" w:styleId="xl46">
    <w:name w:val="xl4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7">
    <w:name w:val="xl47"/>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8">
    <w:name w:val="xl48"/>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9">
    <w:name w:val="xl49"/>
    <w:basedOn w:val="Normal"/>
    <w:uiPriority w:val="99"/>
    <w:rsid w:val="006B5753"/>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0">
    <w:name w:val="xl50"/>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1">
    <w:name w:val="xl51"/>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6B5753"/>
    <w:pPr>
      <w:ind w:left="720"/>
    </w:pPr>
  </w:style>
  <w:style w:type="character" w:customStyle="1" w:styleId="BodyTextIndent3Char">
    <w:name w:val="Body Text Indent 3 Char"/>
    <w:basedOn w:val="DefaultParagraphFont"/>
    <w:link w:val="BodyTextIndent3"/>
    <w:uiPriority w:val="99"/>
    <w:rsid w:val="006B5753"/>
    <w:rPr>
      <w:rFonts w:ascii="Times New Roman" w:eastAsia="Times New Roman" w:hAnsi="Times New Roman" w:cs="Times New Roman"/>
      <w:sz w:val="24"/>
      <w:szCs w:val="20"/>
    </w:rPr>
  </w:style>
  <w:style w:type="character" w:styleId="LineNumber">
    <w:name w:val="line number"/>
    <w:basedOn w:val="DefaultParagraphFont"/>
    <w:uiPriority w:val="99"/>
    <w:rsid w:val="006B5753"/>
    <w:rPr>
      <w:rFonts w:cs="Times New Roman"/>
    </w:rPr>
  </w:style>
  <w:style w:type="character" w:customStyle="1" w:styleId="EmailStyle1101">
    <w:name w:val="EmailStyle1101"/>
    <w:basedOn w:val="DefaultParagraphFont"/>
    <w:uiPriority w:val="99"/>
    <w:rsid w:val="006B5753"/>
    <w:rPr>
      <w:rFonts w:ascii="Arial" w:hAnsi="Arial" w:cs="Arial"/>
      <w:color w:val="000000"/>
      <w:sz w:val="20"/>
    </w:rPr>
  </w:style>
  <w:style w:type="paragraph" w:styleId="ListBullet">
    <w:name w:val="List Bullet"/>
    <w:basedOn w:val="Normal"/>
    <w:uiPriority w:val="99"/>
    <w:rsid w:val="006B5753"/>
    <w:pPr>
      <w:tabs>
        <w:tab w:val="num" w:pos="360"/>
      </w:tabs>
      <w:ind w:left="360" w:hanging="360"/>
    </w:pPr>
  </w:style>
  <w:style w:type="paragraph" w:styleId="MacroText">
    <w:name w:val="macro"/>
    <w:link w:val="MacroTextChar"/>
    <w:uiPriority w:val="99"/>
    <w:semiHidden/>
    <w:rsid w:val="006B575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6B5753"/>
    <w:rPr>
      <w:rFonts w:ascii="Arial" w:eastAsia="Times New Roman" w:hAnsi="Arial" w:cs="Times New Roman"/>
      <w:sz w:val="20"/>
      <w:szCs w:val="20"/>
    </w:rPr>
  </w:style>
  <w:style w:type="paragraph" w:styleId="Caption">
    <w:name w:val="caption"/>
    <w:basedOn w:val="Normal"/>
    <w:next w:val="Normal"/>
    <w:uiPriority w:val="99"/>
    <w:qFormat/>
    <w:rsid w:val="006B5753"/>
    <w:pPr>
      <w:spacing w:before="120" w:after="120"/>
    </w:pPr>
    <w:rPr>
      <w:b/>
      <w:bCs/>
      <w:sz w:val="20"/>
    </w:rPr>
  </w:style>
  <w:style w:type="paragraph" w:styleId="TOC5">
    <w:name w:val="toc 5"/>
    <w:basedOn w:val="Normal"/>
    <w:next w:val="Normal"/>
    <w:uiPriority w:val="39"/>
    <w:rsid w:val="006B5753"/>
    <w:pPr>
      <w:ind w:left="960"/>
    </w:pPr>
  </w:style>
  <w:style w:type="paragraph" w:styleId="TOC6">
    <w:name w:val="toc 6"/>
    <w:basedOn w:val="Normal"/>
    <w:next w:val="Normal"/>
    <w:uiPriority w:val="39"/>
    <w:rsid w:val="006B5753"/>
    <w:pPr>
      <w:ind w:left="1200"/>
    </w:pPr>
  </w:style>
  <w:style w:type="paragraph" w:styleId="TOC7">
    <w:name w:val="toc 7"/>
    <w:basedOn w:val="Normal"/>
    <w:next w:val="Normal"/>
    <w:uiPriority w:val="39"/>
    <w:rsid w:val="006B5753"/>
    <w:pPr>
      <w:ind w:left="1440"/>
    </w:pPr>
  </w:style>
  <w:style w:type="paragraph" w:styleId="TOC8">
    <w:name w:val="toc 8"/>
    <w:basedOn w:val="Normal"/>
    <w:next w:val="Normal"/>
    <w:uiPriority w:val="39"/>
    <w:rsid w:val="006B5753"/>
    <w:pPr>
      <w:ind w:left="1680"/>
    </w:pPr>
  </w:style>
  <w:style w:type="paragraph" w:styleId="TOC9">
    <w:name w:val="toc 9"/>
    <w:basedOn w:val="Normal"/>
    <w:next w:val="Normal"/>
    <w:uiPriority w:val="39"/>
    <w:rsid w:val="006B5753"/>
    <w:pPr>
      <w:ind w:left="1920"/>
    </w:pPr>
  </w:style>
  <w:style w:type="character" w:customStyle="1" w:styleId="EmailStyle1201">
    <w:name w:val="EmailStyle1201"/>
    <w:basedOn w:val="DefaultParagraphFont"/>
    <w:uiPriority w:val="99"/>
    <w:rsid w:val="006B5753"/>
    <w:rPr>
      <w:rFonts w:ascii="Arial" w:hAnsi="Arial" w:cs="Arial"/>
      <w:color w:val="000000"/>
      <w:sz w:val="20"/>
    </w:rPr>
  </w:style>
  <w:style w:type="paragraph" w:customStyle="1" w:styleId="TableCell">
    <w:name w:val="TableCell"/>
    <w:link w:val="TableCellChar"/>
    <w:uiPriority w:val="99"/>
    <w:rsid w:val="006B5753"/>
    <w:pPr>
      <w:spacing w:before="60" w:after="60" w:line="240" w:lineRule="auto"/>
    </w:pPr>
    <w:rPr>
      <w:rFonts w:ascii="Arial" w:eastAsia="Times New Roman" w:hAnsi="Arial" w:cs="Times New Roman"/>
      <w:noProof/>
      <w:sz w:val="18"/>
      <w:szCs w:val="20"/>
    </w:rPr>
  </w:style>
  <w:style w:type="character" w:customStyle="1" w:styleId="TableCellChar">
    <w:name w:val="TableCell Char"/>
    <w:basedOn w:val="DefaultParagraphFont"/>
    <w:link w:val="TableCell"/>
    <w:uiPriority w:val="99"/>
    <w:locked/>
    <w:rsid w:val="006B5753"/>
    <w:rPr>
      <w:rFonts w:ascii="Arial" w:eastAsia="Times New Roman" w:hAnsi="Arial" w:cs="Times New Roman"/>
      <w:noProof/>
      <w:sz w:val="18"/>
      <w:szCs w:val="20"/>
    </w:rPr>
  </w:style>
  <w:style w:type="paragraph" w:styleId="NoSpacing">
    <w:name w:val="No Spacing"/>
    <w:uiPriority w:val="1"/>
    <w:qFormat/>
    <w:rsid w:val="00046826"/>
    <w:pPr>
      <w:spacing w:after="0" w:line="240" w:lineRule="auto"/>
    </w:pPr>
  </w:style>
  <w:style w:type="paragraph" w:styleId="Revision">
    <w:name w:val="Revision"/>
    <w:hidden/>
    <w:uiPriority w:val="99"/>
    <w:semiHidden/>
    <w:rsid w:val="00C1701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CC52AD"/>
    <w:rPr>
      <w:sz w:val="20"/>
    </w:rPr>
  </w:style>
  <w:style w:type="character" w:customStyle="1" w:styleId="EndnoteTextChar">
    <w:name w:val="Endnote Text Char"/>
    <w:basedOn w:val="DefaultParagraphFont"/>
    <w:link w:val="EndnoteText"/>
    <w:uiPriority w:val="99"/>
    <w:semiHidden/>
    <w:rsid w:val="00CC52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52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6B57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B57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B57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B5753"/>
    <w:pPr>
      <w:keepNext/>
      <w:spacing w:before="240" w:after="60"/>
      <w:outlineLvl w:val="3"/>
    </w:pPr>
    <w:rPr>
      <w:b/>
      <w:bCs/>
      <w:sz w:val="28"/>
      <w:szCs w:val="28"/>
    </w:rPr>
  </w:style>
  <w:style w:type="paragraph" w:styleId="Heading5">
    <w:name w:val="heading 5"/>
    <w:basedOn w:val="Normal"/>
    <w:next w:val="Normal"/>
    <w:link w:val="Heading5Char"/>
    <w:uiPriority w:val="99"/>
    <w:qFormat/>
    <w:rsid w:val="006B5753"/>
    <w:pPr>
      <w:keepNext/>
      <w:spacing w:line="480" w:lineRule="auto"/>
      <w:ind w:right="-180"/>
      <w:jc w:val="center"/>
      <w:outlineLvl w:val="4"/>
    </w:pPr>
    <w:rPr>
      <w:rFonts w:ascii="Arial" w:hAnsi="Arial"/>
    </w:rPr>
  </w:style>
  <w:style w:type="paragraph" w:styleId="Heading6">
    <w:name w:val="heading 6"/>
    <w:basedOn w:val="Normal"/>
    <w:next w:val="Normal"/>
    <w:link w:val="Heading6Char"/>
    <w:uiPriority w:val="99"/>
    <w:qFormat/>
    <w:rsid w:val="006B5753"/>
    <w:pPr>
      <w:keepNext/>
      <w:spacing w:line="480" w:lineRule="auto"/>
      <w:ind w:right="-180"/>
      <w:jc w:val="center"/>
      <w:outlineLvl w:val="5"/>
    </w:pPr>
    <w:rPr>
      <w:rFonts w:ascii="Arial" w:hAnsi="Arial"/>
      <w:i/>
    </w:rPr>
  </w:style>
  <w:style w:type="paragraph" w:styleId="Heading7">
    <w:name w:val="heading 7"/>
    <w:basedOn w:val="Normal"/>
    <w:next w:val="Normal"/>
    <w:link w:val="Heading7Char"/>
    <w:uiPriority w:val="99"/>
    <w:qFormat/>
    <w:rsid w:val="006B5753"/>
    <w:pPr>
      <w:keepNext/>
      <w:ind w:right="-187"/>
      <w:jc w:val="center"/>
      <w:outlineLvl w:val="6"/>
    </w:pPr>
    <w:rPr>
      <w:b/>
    </w:rPr>
  </w:style>
  <w:style w:type="paragraph" w:styleId="Heading8">
    <w:name w:val="heading 8"/>
    <w:basedOn w:val="Normal"/>
    <w:next w:val="Normal"/>
    <w:link w:val="Heading8Char"/>
    <w:uiPriority w:val="99"/>
    <w:qFormat/>
    <w:rsid w:val="006B5753"/>
    <w:pPr>
      <w:keepNext/>
      <w:spacing w:line="480" w:lineRule="auto"/>
      <w:ind w:right="-187"/>
      <w:jc w:val="center"/>
      <w:outlineLvl w:val="7"/>
    </w:pPr>
    <w:rPr>
      <w:rFonts w:ascii="Arial" w:hAnsi="Arial"/>
    </w:rPr>
  </w:style>
  <w:style w:type="paragraph" w:styleId="Heading9">
    <w:name w:val="heading 9"/>
    <w:basedOn w:val="Normal"/>
    <w:next w:val="Normal"/>
    <w:link w:val="Heading9Char"/>
    <w:uiPriority w:val="99"/>
    <w:qFormat/>
    <w:rsid w:val="006B5753"/>
    <w:pPr>
      <w:keepNext/>
      <w:spacing w:line="480" w:lineRule="auto"/>
      <w:ind w:right="-187"/>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575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6B5753"/>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6B5753"/>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B575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6B5753"/>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6B5753"/>
    <w:rPr>
      <w:rFonts w:ascii="Arial" w:eastAsia="Times New Roman" w:hAnsi="Arial" w:cs="Times New Roman"/>
      <w:i/>
      <w:sz w:val="24"/>
      <w:szCs w:val="20"/>
    </w:rPr>
  </w:style>
  <w:style w:type="character" w:customStyle="1" w:styleId="Heading7Char">
    <w:name w:val="Heading 7 Char"/>
    <w:basedOn w:val="DefaultParagraphFont"/>
    <w:link w:val="Heading7"/>
    <w:uiPriority w:val="99"/>
    <w:rsid w:val="006B575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9"/>
    <w:rsid w:val="006B5753"/>
    <w:rPr>
      <w:rFonts w:ascii="Arial" w:eastAsia="Times New Roman" w:hAnsi="Arial" w:cs="Times New Roman"/>
      <w:sz w:val="24"/>
      <w:szCs w:val="20"/>
    </w:rPr>
  </w:style>
  <w:style w:type="character" w:customStyle="1" w:styleId="Heading9Char">
    <w:name w:val="Heading 9 Char"/>
    <w:basedOn w:val="DefaultParagraphFont"/>
    <w:link w:val="Heading9"/>
    <w:uiPriority w:val="99"/>
    <w:rsid w:val="006B5753"/>
    <w:rPr>
      <w:rFonts w:ascii="Arial" w:eastAsia="Times New Roman" w:hAnsi="Arial" w:cs="Times New Roman"/>
      <w:i/>
      <w:sz w:val="24"/>
      <w:szCs w:val="20"/>
    </w:rPr>
  </w:style>
  <w:style w:type="paragraph" w:styleId="BalloonText">
    <w:name w:val="Balloon Text"/>
    <w:basedOn w:val="Normal"/>
    <w:link w:val="BalloonTextChar"/>
    <w:uiPriority w:val="99"/>
    <w:semiHidden/>
    <w:rsid w:val="006B5753"/>
    <w:rPr>
      <w:rFonts w:ascii="Tahoma" w:hAnsi="Tahoma" w:cs="Tahoma"/>
      <w:sz w:val="16"/>
      <w:szCs w:val="16"/>
    </w:rPr>
  </w:style>
  <w:style w:type="character" w:customStyle="1" w:styleId="BalloonTextChar">
    <w:name w:val="Balloon Text Char"/>
    <w:basedOn w:val="DefaultParagraphFont"/>
    <w:link w:val="BalloonText"/>
    <w:uiPriority w:val="99"/>
    <w:semiHidden/>
    <w:rsid w:val="006B5753"/>
    <w:rPr>
      <w:rFonts w:ascii="Tahoma" w:eastAsia="Times New Roman" w:hAnsi="Tahoma" w:cs="Tahoma"/>
      <w:sz w:val="16"/>
      <w:szCs w:val="16"/>
    </w:rPr>
  </w:style>
  <w:style w:type="paragraph" w:styleId="FootnoteText">
    <w:name w:val="footnote text"/>
    <w:basedOn w:val="Normal"/>
    <w:link w:val="FootnoteTextChar"/>
    <w:rsid w:val="006B5753"/>
    <w:rPr>
      <w:sz w:val="20"/>
    </w:rPr>
  </w:style>
  <w:style w:type="character" w:customStyle="1" w:styleId="FootnoteTextChar">
    <w:name w:val="Footnote Text Char"/>
    <w:basedOn w:val="DefaultParagraphFont"/>
    <w:link w:val="FootnoteText"/>
    <w:rsid w:val="006B5753"/>
    <w:rPr>
      <w:rFonts w:ascii="Times New Roman" w:eastAsia="Times New Roman" w:hAnsi="Times New Roman" w:cs="Times New Roman"/>
      <w:sz w:val="20"/>
      <w:szCs w:val="20"/>
    </w:rPr>
  </w:style>
  <w:style w:type="character" w:styleId="FootnoteReference">
    <w:name w:val="footnote reference"/>
    <w:basedOn w:val="DefaultParagraphFont"/>
    <w:rsid w:val="006B5753"/>
    <w:rPr>
      <w:rFonts w:cs="Times New Roman"/>
      <w:vertAlign w:val="superscript"/>
    </w:rPr>
  </w:style>
  <w:style w:type="paragraph" w:customStyle="1" w:styleId="p3">
    <w:name w:val="p3"/>
    <w:basedOn w:val="Normal"/>
    <w:uiPriority w:val="99"/>
    <w:rsid w:val="006B5753"/>
    <w:pPr>
      <w:widowControl w:val="0"/>
      <w:tabs>
        <w:tab w:val="left" w:pos="204"/>
      </w:tabs>
      <w:overflowPunct/>
      <w:textAlignment w:val="auto"/>
    </w:pPr>
    <w:rPr>
      <w:szCs w:val="24"/>
    </w:rPr>
  </w:style>
  <w:style w:type="paragraph" w:customStyle="1" w:styleId="p14">
    <w:name w:val="p14"/>
    <w:basedOn w:val="Normal"/>
    <w:uiPriority w:val="99"/>
    <w:rsid w:val="006B5753"/>
    <w:pPr>
      <w:widowControl w:val="0"/>
      <w:tabs>
        <w:tab w:val="left" w:pos="204"/>
      </w:tabs>
      <w:overflowPunct/>
      <w:textAlignment w:val="auto"/>
    </w:pPr>
    <w:rPr>
      <w:szCs w:val="24"/>
    </w:rPr>
  </w:style>
  <w:style w:type="paragraph" w:customStyle="1" w:styleId="p17">
    <w:name w:val="p17"/>
    <w:basedOn w:val="Normal"/>
    <w:uiPriority w:val="99"/>
    <w:rsid w:val="006B5753"/>
    <w:pPr>
      <w:widowControl w:val="0"/>
      <w:tabs>
        <w:tab w:val="left" w:pos="5057"/>
      </w:tabs>
      <w:overflowPunct/>
      <w:ind w:left="3617"/>
      <w:textAlignment w:val="auto"/>
    </w:pPr>
    <w:rPr>
      <w:szCs w:val="24"/>
    </w:rPr>
  </w:style>
  <w:style w:type="paragraph" w:customStyle="1" w:styleId="p18">
    <w:name w:val="p18"/>
    <w:basedOn w:val="Normal"/>
    <w:uiPriority w:val="99"/>
    <w:rsid w:val="006B5753"/>
    <w:pPr>
      <w:widowControl w:val="0"/>
      <w:tabs>
        <w:tab w:val="left" w:pos="5062"/>
      </w:tabs>
      <w:overflowPunct/>
      <w:ind w:left="3622"/>
      <w:textAlignment w:val="auto"/>
    </w:pPr>
    <w:rPr>
      <w:szCs w:val="24"/>
    </w:rPr>
  </w:style>
  <w:style w:type="paragraph" w:customStyle="1" w:styleId="StyleCentered">
    <w:name w:val="Style Centered"/>
    <w:basedOn w:val="Normal"/>
    <w:uiPriority w:val="99"/>
    <w:rsid w:val="006B5753"/>
    <w:pPr>
      <w:jc w:val="center"/>
    </w:pPr>
  </w:style>
  <w:style w:type="character" w:styleId="Hyperlink">
    <w:name w:val="Hyperlink"/>
    <w:basedOn w:val="DefaultParagraphFont"/>
    <w:uiPriority w:val="99"/>
    <w:rsid w:val="006B5753"/>
    <w:rPr>
      <w:rFonts w:cs="Times New Roman"/>
      <w:color w:val="0000FF"/>
      <w:u w:val="single"/>
    </w:rPr>
  </w:style>
  <w:style w:type="character" w:styleId="CommentReference">
    <w:name w:val="annotation reference"/>
    <w:basedOn w:val="DefaultParagraphFont"/>
    <w:uiPriority w:val="99"/>
    <w:rsid w:val="006B5753"/>
    <w:rPr>
      <w:rFonts w:cs="Times New Roman"/>
      <w:sz w:val="16"/>
      <w:szCs w:val="16"/>
    </w:rPr>
  </w:style>
  <w:style w:type="paragraph" w:styleId="CommentText">
    <w:name w:val="annotation text"/>
    <w:basedOn w:val="Normal"/>
    <w:link w:val="CommentTextChar"/>
    <w:uiPriority w:val="99"/>
    <w:rsid w:val="006B5753"/>
    <w:rPr>
      <w:sz w:val="20"/>
    </w:rPr>
  </w:style>
  <w:style w:type="character" w:customStyle="1" w:styleId="CommentTextChar">
    <w:name w:val="Comment Text Char"/>
    <w:basedOn w:val="DefaultParagraphFont"/>
    <w:link w:val="CommentText"/>
    <w:uiPriority w:val="99"/>
    <w:rsid w:val="006B5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B5753"/>
    <w:rPr>
      <w:b/>
      <w:bCs/>
    </w:rPr>
  </w:style>
  <w:style w:type="character" w:customStyle="1" w:styleId="CommentSubjectChar">
    <w:name w:val="Comment Subject Char"/>
    <w:basedOn w:val="CommentTextChar"/>
    <w:link w:val="CommentSubject"/>
    <w:uiPriority w:val="99"/>
    <w:rsid w:val="006B5753"/>
    <w:rPr>
      <w:rFonts w:ascii="Times New Roman" w:eastAsia="Times New Roman" w:hAnsi="Times New Roman" w:cs="Times New Roman"/>
      <w:b/>
      <w:bCs/>
      <w:sz w:val="20"/>
      <w:szCs w:val="20"/>
    </w:rPr>
  </w:style>
  <w:style w:type="paragraph" w:styleId="ListParagraph">
    <w:name w:val="List Paragraph"/>
    <w:basedOn w:val="Normal"/>
    <w:uiPriority w:val="34"/>
    <w:qFormat/>
    <w:rsid w:val="006B5753"/>
    <w:pPr>
      <w:ind w:left="720"/>
      <w:contextualSpacing/>
    </w:pPr>
  </w:style>
  <w:style w:type="paragraph" w:styleId="Header">
    <w:name w:val="header"/>
    <w:basedOn w:val="Normal"/>
    <w:link w:val="HeaderChar"/>
    <w:uiPriority w:val="99"/>
    <w:unhideWhenUsed/>
    <w:rsid w:val="006B5753"/>
    <w:pPr>
      <w:tabs>
        <w:tab w:val="center" w:pos="4680"/>
        <w:tab w:val="right" w:pos="9360"/>
      </w:tabs>
    </w:pPr>
  </w:style>
  <w:style w:type="character" w:customStyle="1" w:styleId="HeaderChar">
    <w:name w:val="Header Char"/>
    <w:basedOn w:val="DefaultParagraphFont"/>
    <w:link w:val="Header"/>
    <w:uiPriority w:val="99"/>
    <w:rsid w:val="006B57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5753"/>
    <w:pPr>
      <w:tabs>
        <w:tab w:val="center" w:pos="4680"/>
        <w:tab w:val="right" w:pos="9360"/>
      </w:tabs>
    </w:pPr>
  </w:style>
  <w:style w:type="character" w:customStyle="1" w:styleId="FooterChar">
    <w:name w:val="Footer Char"/>
    <w:basedOn w:val="DefaultParagraphFont"/>
    <w:link w:val="Footer"/>
    <w:uiPriority w:val="99"/>
    <w:rsid w:val="006B5753"/>
    <w:rPr>
      <w:rFonts w:ascii="Times New Roman" w:eastAsia="Times New Roman" w:hAnsi="Times New Roman" w:cs="Times New Roman"/>
      <w:sz w:val="24"/>
      <w:szCs w:val="20"/>
    </w:rPr>
  </w:style>
  <w:style w:type="character" w:styleId="PageNumber">
    <w:name w:val="page number"/>
    <w:basedOn w:val="DefaultParagraphFont"/>
    <w:uiPriority w:val="99"/>
    <w:rsid w:val="006B5753"/>
    <w:rPr>
      <w:rFonts w:cs="Times New Roman"/>
    </w:rPr>
  </w:style>
  <w:style w:type="paragraph" w:customStyle="1" w:styleId="c1">
    <w:name w:val="c1"/>
    <w:basedOn w:val="Normal"/>
    <w:uiPriority w:val="99"/>
    <w:rsid w:val="006B5753"/>
    <w:pPr>
      <w:widowControl w:val="0"/>
      <w:overflowPunct/>
      <w:jc w:val="center"/>
      <w:textAlignment w:val="auto"/>
    </w:pPr>
    <w:rPr>
      <w:szCs w:val="24"/>
    </w:rPr>
  </w:style>
  <w:style w:type="paragraph" w:customStyle="1" w:styleId="p6">
    <w:name w:val="p6"/>
    <w:basedOn w:val="Normal"/>
    <w:uiPriority w:val="99"/>
    <w:rsid w:val="006B5753"/>
    <w:pPr>
      <w:widowControl w:val="0"/>
      <w:overflowPunct/>
      <w:ind w:firstLine="742"/>
      <w:textAlignment w:val="auto"/>
    </w:pPr>
    <w:rPr>
      <w:szCs w:val="24"/>
    </w:rPr>
  </w:style>
  <w:style w:type="paragraph" w:customStyle="1" w:styleId="p8">
    <w:name w:val="p8"/>
    <w:basedOn w:val="Normal"/>
    <w:uiPriority w:val="99"/>
    <w:rsid w:val="006B5753"/>
    <w:pPr>
      <w:widowControl w:val="0"/>
      <w:tabs>
        <w:tab w:val="left" w:pos="204"/>
      </w:tabs>
      <w:overflowPunct/>
      <w:textAlignment w:val="auto"/>
    </w:pPr>
    <w:rPr>
      <w:szCs w:val="24"/>
    </w:rPr>
  </w:style>
  <w:style w:type="paragraph" w:customStyle="1" w:styleId="c9">
    <w:name w:val="c9"/>
    <w:basedOn w:val="Normal"/>
    <w:uiPriority w:val="99"/>
    <w:rsid w:val="006B5753"/>
    <w:pPr>
      <w:widowControl w:val="0"/>
      <w:overflowPunct/>
      <w:jc w:val="center"/>
      <w:textAlignment w:val="auto"/>
    </w:pPr>
    <w:rPr>
      <w:szCs w:val="24"/>
    </w:rPr>
  </w:style>
  <w:style w:type="paragraph" w:customStyle="1" w:styleId="c10">
    <w:name w:val="c10"/>
    <w:basedOn w:val="Normal"/>
    <w:uiPriority w:val="99"/>
    <w:rsid w:val="006B5753"/>
    <w:pPr>
      <w:widowControl w:val="0"/>
      <w:overflowPunct/>
      <w:jc w:val="center"/>
      <w:textAlignment w:val="auto"/>
    </w:pPr>
    <w:rPr>
      <w:szCs w:val="24"/>
    </w:rPr>
  </w:style>
  <w:style w:type="paragraph" w:customStyle="1" w:styleId="p13">
    <w:name w:val="p13"/>
    <w:basedOn w:val="Normal"/>
    <w:uiPriority w:val="99"/>
    <w:rsid w:val="006B5753"/>
    <w:pPr>
      <w:widowControl w:val="0"/>
      <w:tabs>
        <w:tab w:val="left" w:pos="742"/>
        <w:tab w:val="left" w:pos="1451"/>
      </w:tabs>
      <w:overflowPunct/>
      <w:ind w:left="742" w:firstLine="709"/>
      <w:textAlignment w:val="auto"/>
    </w:pPr>
    <w:rPr>
      <w:szCs w:val="24"/>
    </w:rPr>
  </w:style>
  <w:style w:type="paragraph" w:customStyle="1" w:styleId="p15">
    <w:name w:val="p15"/>
    <w:basedOn w:val="Normal"/>
    <w:uiPriority w:val="99"/>
    <w:rsid w:val="006B5753"/>
    <w:pPr>
      <w:widowControl w:val="0"/>
      <w:tabs>
        <w:tab w:val="left" w:pos="204"/>
      </w:tabs>
      <w:overflowPunct/>
      <w:textAlignment w:val="auto"/>
    </w:pPr>
    <w:rPr>
      <w:szCs w:val="24"/>
    </w:rPr>
  </w:style>
  <w:style w:type="paragraph" w:styleId="TOC1">
    <w:name w:val="toc 1"/>
    <w:basedOn w:val="Normal"/>
    <w:next w:val="Normal"/>
    <w:uiPriority w:val="39"/>
    <w:rsid w:val="006B5753"/>
    <w:rPr>
      <w:b/>
      <w:sz w:val="26"/>
    </w:rPr>
  </w:style>
  <w:style w:type="paragraph" w:styleId="TOC2">
    <w:name w:val="toc 2"/>
    <w:basedOn w:val="Normal"/>
    <w:next w:val="Normal"/>
    <w:uiPriority w:val="39"/>
    <w:rsid w:val="006B5753"/>
    <w:pPr>
      <w:ind w:left="240"/>
    </w:pPr>
    <w:rPr>
      <w:sz w:val="22"/>
    </w:rPr>
  </w:style>
  <w:style w:type="paragraph" w:styleId="TOC3">
    <w:name w:val="toc 3"/>
    <w:basedOn w:val="Normal"/>
    <w:next w:val="Normal"/>
    <w:uiPriority w:val="39"/>
    <w:rsid w:val="006B5753"/>
    <w:pPr>
      <w:ind w:left="480"/>
    </w:pPr>
    <w:rPr>
      <w:i/>
      <w:sz w:val="22"/>
    </w:rPr>
  </w:style>
  <w:style w:type="paragraph" w:styleId="TOC4">
    <w:name w:val="toc 4"/>
    <w:basedOn w:val="Normal"/>
    <w:next w:val="Normal"/>
    <w:uiPriority w:val="39"/>
    <w:rsid w:val="006B5753"/>
    <w:pPr>
      <w:ind w:left="720"/>
    </w:pPr>
  </w:style>
  <w:style w:type="paragraph" w:styleId="BodyText2">
    <w:name w:val="Body Text 2"/>
    <w:basedOn w:val="Normal"/>
    <w:link w:val="BodyText2Char"/>
    <w:uiPriority w:val="99"/>
    <w:rsid w:val="006B5753"/>
  </w:style>
  <w:style w:type="character" w:customStyle="1" w:styleId="BodyText2Char">
    <w:name w:val="Body Text 2 Char"/>
    <w:basedOn w:val="DefaultParagraphFont"/>
    <w:link w:val="BodyText2"/>
    <w:uiPriority w:val="99"/>
    <w:rsid w:val="006B5753"/>
    <w:rPr>
      <w:rFonts w:ascii="Times New Roman" w:eastAsia="Times New Roman" w:hAnsi="Times New Roman" w:cs="Times New Roman"/>
      <w:sz w:val="24"/>
      <w:szCs w:val="20"/>
    </w:rPr>
  </w:style>
  <w:style w:type="paragraph" w:styleId="BodyText3">
    <w:name w:val="Body Text 3"/>
    <w:basedOn w:val="Normal"/>
    <w:link w:val="BodyText3Char"/>
    <w:uiPriority w:val="99"/>
    <w:rsid w:val="006B5753"/>
    <w:pPr>
      <w:spacing w:after="120"/>
    </w:pPr>
  </w:style>
  <w:style w:type="character" w:customStyle="1" w:styleId="BodyText3Char">
    <w:name w:val="Body Text 3 Char"/>
    <w:basedOn w:val="DefaultParagraphFont"/>
    <w:link w:val="BodyText3"/>
    <w:uiPriority w:val="99"/>
    <w:rsid w:val="006B5753"/>
    <w:rPr>
      <w:rFonts w:ascii="Times New Roman" w:eastAsia="Times New Roman" w:hAnsi="Times New Roman" w:cs="Times New Roman"/>
      <w:sz w:val="24"/>
      <w:szCs w:val="20"/>
    </w:rPr>
  </w:style>
  <w:style w:type="paragraph" w:styleId="BodyText">
    <w:name w:val="Body Text"/>
    <w:basedOn w:val="Normal"/>
    <w:link w:val="BodyTextChar"/>
    <w:uiPriority w:val="99"/>
    <w:rsid w:val="006B5753"/>
    <w:pPr>
      <w:spacing w:line="480" w:lineRule="auto"/>
    </w:pPr>
    <w:rPr>
      <w:rFonts w:ascii="Arial" w:hAnsi="Arial"/>
    </w:rPr>
  </w:style>
  <w:style w:type="character" w:customStyle="1" w:styleId="BodyTextChar">
    <w:name w:val="Body Text Char"/>
    <w:basedOn w:val="DefaultParagraphFont"/>
    <w:link w:val="BodyText"/>
    <w:uiPriority w:val="99"/>
    <w:rsid w:val="006B5753"/>
    <w:rPr>
      <w:rFonts w:ascii="Arial" w:eastAsia="Times New Roman" w:hAnsi="Arial" w:cs="Times New Roman"/>
      <w:sz w:val="24"/>
      <w:szCs w:val="20"/>
    </w:rPr>
  </w:style>
  <w:style w:type="character" w:styleId="FollowedHyperlink">
    <w:name w:val="FollowedHyperlink"/>
    <w:basedOn w:val="DefaultParagraphFont"/>
    <w:uiPriority w:val="99"/>
    <w:rsid w:val="006B5753"/>
    <w:rPr>
      <w:rFonts w:cs="Times New Roman"/>
      <w:color w:val="800080"/>
      <w:u w:val="single"/>
    </w:rPr>
  </w:style>
  <w:style w:type="character" w:styleId="Strong">
    <w:name w:val="Strong"/>
    <w:basedOn w:val="DefaultParagraphFont"/>
    <w:uiPriority w:val="99"/>
    <w:qFormat/>
    <w:rsid w:val="006B5753"/>
    <w:rPr>
      <w:rFonts w:cs="Times New Roman"/>
      <w:b/>
      <w:bCs/>
    </w:rPr>
  </w:style>
  <w:style w:type="paragraph" w:styleId="BodyTextIndent">
    <w:name w:val="Body Text Indent"/>
    <w:basedOn w:val="Normal"/>
    <w:link w:val="BodyTextIndentChar"/>
    <w:uiPriority w:val="99"/>
    <w:rsid w:val="006B5753"/>
    <w:pPr>
      <w:overflowPunct/>
      <w:autoSpaceDE/>
      <w:autoSpaceDN/>
      <w:adjustRightInd/>
      <w:ind w:left="1440" w:firstLine="60"/>
      <w:textAlignment w:val="auto"/>
    </w:pPr>
    <w:rPr>
      <w:szCs w:val="24"/>
    </w:rPr>
  </w:style>
  <w:style w:type="character" w:customStyle="1" w:styleId="BodyTextIndentChar">
    <w:name w:val="Body Text Indent Char"/>
    <w:basedOn w:val="DefaultParagraphFont"/>
    <w:link w:val="BodyTextIndent"/>
    <w:uiPriority w:val="99"/>
    <w:rsid w:val="006B5753"/>
    <w:rPr>
      <w:rFonts w:ascii="Times New Roman" w:eastAsia="Times New Roman" w:hAnsi="Times New Roman" w:cs="Times New Roman"/>
      <w:sz w:val="24"/>
      <w:szCs w:val="24"/>
    </w:rPr>
  </w:style>
  <w:style w:type="paragraph" w:styleId="Title">
    <w:name w:val="Title"/>
    <w:basedOn w:val="Normal"/>
    <w:link w:val="TitleChar"/>
    <w:uiPriority w:val="99"/>
    <w:qFormat/>
    <w:rsid w:val="006B5753"/>
    <w:pPr>
      <w:overflowPunct/>
      <w:autoSpaceDE/>
      <w:autoSpaceDN/>
      <w:adjustRightInd/>
      <w:jc w:val="center"/>
      <w:textAlignment w:val="auto"/>
    </w:pPr>
    <w:rPr>
      <w:b/>
    </w:rPr>
  </w:style>
  <w:style w:type="character" w:customStyle="1" w:styleId="TitleChar">
    <w:name w:val="Title Char"/>
    <w:basedOn w:val="DefaultParagraphFont"/>
    <w:link w:val="Title"/>
    <w:uiPriority w:val="99"/>
    <w:rsid w:val="006B575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6B5753"/>
    <w:pPr>
      <w:ind w:left="720"/>
    </w:pPr>
    <w:rPr>
      <w:color w:val="FF0000"/>
    </w:rPr>
  </w:style>
  <w:style w:type="character" w:customStyle="1" w:styleId="BodyTextIndent2Char">
    <w:name w:val="Body Text Indent 2 Char"/>
    <w:basedOn w:val="DefaultParagraphFont"/>
    <w:link w:val="BodyTextIndent2"/>
    <w:uiPriority w:val="99"/>
    <w:rsid w:val="006B5753"/>
    <w:rPr>
      <w:rFonts w:ascii="Times New Roman" w:eastAsia="Times New Roman" w:hAnsi="Times New Roman" w:cs="Times New Roman"/>
      <w:color w:val="FF0000"/>
      <w:sz w:val="24"/>
      <w:szCs w:val="20"/>
    </w:rPr>
  </w:style>
  <w:style w:type="paragraph" w:customStyle="1" w:styleId="font0">
    <w:name w:val="font0"/>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5">
    <w:name w:val="font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20"/>
    </w:rPr>
  </w:style>
  <w:style w:type="paragraph" w:customStyle="1" w:styleId="font6">
    <w:name w:val="font6"/>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 w:val="20"/>
    </w:rPr>
  </w:style>
  <w:style w:type="paragraph" w:customStyle="1" w:styleId="font7">
    <w:name w:val="font7"/>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i/>
      <w:iCs/>
      <w:sz w:val="20"/>
    </w:rPr>
  </w:style>
  <w:style w:type="paragraph" w:customStyle="1" w:styleId="font8">
    <w:name w:val="font8"/>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b/>
      <w:bCs/>
      <w:sz w:val="16"/>
      <w:szCs w:val="16"/>
    </w:rPr>
  </w:style>
  <w:style w:type="paragraph" w:customStyle="1" w:styleId="xl24">
    <w:name w:val="xl24"/>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5">
    <w:name w:val="xl25"/>
    <w:basedOn w:val="Normal"/>
    <w:uiPriority w:val="99"/>
    <w:rsid w:val="006B5753"/>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6">
    <w:name w:val="xl26"/>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27">
    <w:name w:val="xl27"/>
    <w:basedOn w:val="Normal"/>
    <w:uiPriority w:val="99"/>
    <w:rsid w:val="006B5753"/>
    <w:pPr>
      <w:pBdr>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28">
    <w:name w:val="xl28"/>
    <w:basedOn w:val="Normal"/>
    <w:uiPriority w:val="99"/>
    <w:rsid w:val="006B5753"/>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9">
    <w:name w:val="xl29"/>
    <w:basedOn w:val="Normal"/>
    <w:uiPriority w:val="99"/>
    <w:rsid w:val="006B5753"/>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0">
    <w:name w:val="xl30"/>
    <w:basedOn w:val="Normal"/>
    <w:uiPriority w:val="99"/>
    <w:rsid w:val="006B5753"/>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3">
    <w:name w:val="xl33"/>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34">
    <w:name w:val="xl34"/>
    <w:basedOn w:val="Normal"/>
    <w:uiPriority w:val="99"/>
    <w:rsid w:val="006B5753"/>
    <w:pPr>
      <w:pBdr>
        <w:right w:val="single" w:sz="8"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35">
    <w:name w:val="xl35"/>
    <w:basedOn w:val="Normal"/>
    <w:uiPriority w:val="99"/>
    <w:rsid w:val="006B5753"/>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6B5753"/>
    <w:pPr>
      <w:pBdr>
        <w:top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38">
    <w:name w:val="xl38"/>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6B5753"/>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0">
    <w:name w:val="xl40"/>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2">
    <w:name w:val="xl42"/>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43">
    <w:name w:val="xl43"/>
    <w:basedOn w:val="Normal"/>
    <w:uiPriority w:val="99"/>
    <w:rsid w:val="006B5753"/>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Cs w:val="24"/>
    </w:rPr>
  </w:style>
  <w:style w:type="paragraph" w:customStyle="1" w:styleId="xl44">
    <w:name w:val="xl44"/>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6B5753"/>
    <w:pPr>
      <w:overflowPunct/>
      <w:autoSpaceDE/>
      <w:autoSpaceDN/>
      <w:adjustRightInd/>
      <w:spacing w:before="100" w:beforeAutospacing="1" w:after="100" w:afterAutospacing="1"/>
      <w:jc w:val="right"/>
      <w:textAlignment w:val="auto"/>
    </w:pPr>
    <w:rPr>
      <w:rFonts w:ascii="Arial" w:eastAsia="Arial Unicode MS" w:hAnsi="Arial" w:cs="Arial"/>
      <w:b/>
      <w:bCs/>
      <w:szCs w:val="24"/>
    </w:rPr>
  </w:style>
  <w:style w:type="paragraph" w:customStyle="1" w:styleId="xl46">
    <w:name w:val="xl46"/>
    <w:basedOn w:val="Normal"/>
    <w:uiPriority w:val="99"/>
    <w:rsid w:val="006B5753"/>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7">
    <w:name w:val="xl47"/>
    <w:basedOn w:val="Normal"/>
    <w:uiPriority w:val="99"/>
    <w:rsid w:val="006B5753"/>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8">
    <w:name w:val="xl48"/>
    <w:basedOn w:val="Normal"/>
    <w:uiPriority w:val="99"/>
    <w:rsid w:val="006B5753"/>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49">
    <w:name w:val="xl49"/>
    <w:basedOn w:val="Normal"/>
    <w:uiPriority w:val="99"/>
    <w:rsid w:val="006B5753"/>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0">
    <w:name w:val="xl50"/>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51">
    <w:name w:val="xl51"/>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6B5753"/>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6B5753"/>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6B5753"/>
    <w:pPr>
      <w:ind w:left="720"/>
    </w:pPr>
  </w:style>
  <w:style w:type="character" w:customStyle="1" w:styleId="BodyTextIndent3Char">
    <w:name w:val="Body Text Indent 3 Char"/>
    <w:basedOn w:val="DefaultParagraphFont"/>
    <w:link w:val="BodyTextIndent3"/>
    <w:uiPriority w:val="99"/>
    <w:rsid w:val="006B5753"/>
    <w:rPr>
      <w:rFonts w:ascii="Times New Roman" w:eastAsia="Times New Roman" w:hAnsi="Times New Roman" w:cs="Times New Roman"/>
      <w:sz w:val="24"/>
      <w:szCs w:val="20"/>
    </w:rPr>
  </w:style>
  <w:style w:type="character" w:styleId="LineNumber">
    <w:name w:val="line number"/>
    <w:basedOn w:val="DefaultParagraphFont"/>
    <w:uiPriority w:val="99"/>
    <w:rsid w:val="006B5753"/>
    <w:rPr>
      <w:rFonts w:cs="Times New Roman"/>
    </w:rPr>
  </w:style>
  <w:style w:type="character" w:customStyle="1" w:styleId="EmailStyle1101">
    <w:name w:val="EmailStyle1101"/>
    <w:basedOn w:val="DefaultParagraphFont"/>
    <w:uiPriority w:val="99"/>
    <w:rsid w:val="006B5753"/>
    <w:rPr>
      <w:rFonts w:ascii="Arial" w:hAnsi="Arial" w:cs="Arial"/>
      <w:color w:val="000000"/>
      <w:sz w:val="20"/>
    </w:rPr>
  </w:style>
  <w:style w:type="paragraph" w:styleId="ListBullet">
    <w:name w:val="List Bullet"/>
    <w:basedOn w:val="Normal"/>
    <w:uiPriority w:val="99"/>
    <w:rsid w:val="006B5753"/>
    <w:pPr>
      <w:tabs>
        <w:tab w:val="num" w:pos="360"/>
      </w:tabs>
      <w:ind w:left="360" w:hanging="360"/>
    </w:pPr>
  </w:style>
  <w:style w:type="paragraph" w:styleId="MacroText">
    <w:name w:val="macro"/>
    <w:link w:val="MacroTextChar"/>
    <w:uiPriority w:val="99"/>
    <w:semiHidden/>
    <w:rsid w:val="006B575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6B5753"/>
    <w:rPr>
      <w:rFonts w:ascii="Arial" w:eastAsia="Times New Roman" w:hAnsi="Arial" w:cs="Times New Roman"/>
      <w:sz w:val="20"/>
      <w:szCs w:val="20"/>
    </w:rPr>
  </w:style>
  <w:style w:type="paragraph" w:styleId="Caption">
    <w:name w:val="caption"/>
    <w:basedOn w:val="Normal"/>
    <w:next w:val="Normal"/>
    <w:uiPriority w:val="99"/>
    <w:qFormat/>
    <w:rsid w:val="006B5753"/>
    <w:pPr>
      <w:spacing w:before="120" w:after="120"/>
    </w:pPr>
    <w:rPr>
      <w:b/>
      <w:bCs/>
      <w:sz w:val="20"/>
    </w:rPr>
  </w:style>
  <w:style w:type="paragraph" w:styleId="TOC5">
    <w:name w:val="toc 5"/>
    <w:basedOn w:val="Normal"/>
    <w:next w:val="Normal"/>
    <w:uiPriority w:val="39"/>
    <w:rsid w:val="006B5753"/>
    <w:pPr>
      <w:ind w:left="960"/>
    </w:pPr>
  </w:style>
  <w:style w:type="paragraph" w:styleId="TOC6">
    <w:name w:val="toc 6"/>
    <w:basedOn w:val="Normal"/>
    <w:next w:val="Normal"/>
    <w:uiPriority w:val="39"/>
    <w:rsid w:val="006B5753"/>
    <w:pPr>
      <w:ind w:left="1200"/>
    </w:pPr>
  </w:style>
  <w:style w:type="paragraph" w:styleId="TOC7">
    <w:name w:val="toc 7"/>
    <w:basedOn w:val="Normal"/>
    <w:next w:val="Normal"/>
    <w:uiPriority w:val="39"/>
    <w:rsid w:val="006B5753"/>
    <w:pPr>
      <w:ind w:left="1440"/>
    </w:pPr>
  </w:style>
  <w:style w:type="paragraph" w:styleId="TOC8">
    <w:name w:val="toc 8"/>
    <w:basedOn w:val="Normal"/>
    <w:next w:val="Normal"/>
    <w:uiPriority w:val="39"/>
    <w:rsid w:val="006B5753"/>
    <w:pPr>
      <w:ind w:left="1680"/>
    </w:pPr>
  </w:style>
  <w:style w:type="paragraph" w:styleId="TOC9">
    <w:name w:val="toc 9"/>
    <w:basedOn w:val="Normal"/>
    <w:next w:val="Normal"/>
    <w:uiPriority w:val="39"/>
    <w:rsid w:val="006B5753"/>
    <w:pPr>
      <w:ind w:left="1920"/>
    </w:pPr>
  </w:style>
  <w:style w:type="character" w:customStyle="1" w:styleId="EmailStyle1201">
    <w:name w:val="EmailStyle1201"/>
    <w:basedOn w:val="DefaultParagraphFont"/>
    <w:uiPriority w:val="99"/>
    <w:rsid w:val="006B5753"/>
    <w:rPr>
      <w:rFonts w:ascii="Arial" w:hAnsi="Arial" w:cs="Arial"/>
      <w:color w:val="000000"/>
      <w:sz w:val="20"/>
    </w:rPr>
  </w:style>
  <w:style w:type="paragraph" w:customStyle="1" w:styleId="TableCell">
    <w:name w:val="TableCell"/>
    <w:link w:val="TableCellChar"/>
    <w:uiPriority w:val="99"/>
    <w:rsid w:val="006B5753"/>
    <w:pPr>
      <w:spacing w:before="60" w:after="60" w:line="240" w:lineRule="auto"/>
    </w:pPr>
    <w:rPr>
      <w:rFonts w:ascii="Arial" w:eastAsia="Times New Roman" w:hAnsi="Arial" w:cs="Times New Roman"/>
      <w:noProof/>
      <w:sz w:val="18"/>
      <w:szCs w:val="20"/>
    </w:rPr>
  </w:style>
  <w:style w:type="character" w:customStyle="1" w:styleId="TableCellChar">
    <w:name w:val="TableCell Char"/>
    <w:basedOn w:val="DefaultParagraphFont"/>
    <w:link w:val="TableCell"/>
    <w:uiPriority w:val="99"/>
    <w:locked/>
    <w:rsid w:val="006B5753"/>
    <w:rPr>
      <w:rFonts w:ascii="Arial" w:eastAsia="Times New Roman" w:hAnsi="Arial" w:cs="Times New Roman"/>
      <w:noProof/>
      <w:sz w:val="18"/>
      <w:szCs w:val="20"/>
    </w:rPr>
  </w:style>
  <w:style w:type="paragraph" w:styleId="NoSpacing">
    <w:name w:val="No Spacing"/>
    <w:uiPriority w:val="1"/>
    <w:qFormat/>
    <w:rsid w:val="00046826"/>
    <w:pPr>
      <w:spacing w:after="0" w:line="240" w:lineRule="auto"/>
    </w:pPr>
  </w:style>
  <w:style w:type="paragraph" w:styleId="Revision">
    <w:name w:val="Revision"/>
    <w:hidden/>
    <w:uiPriority w:val="99"/>
    <w:semiHidden/>
    <w:rsid w:val="00C1701D"/>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25057040">
      <w:bodyDiv w:val="1"/>
      <w:marLeft w:val="0"/>
      <w:marRight w:val="0"/>
      <w:marTop w:val="0"/>
      <w:marBottom w:val="0"/>
      <w:divBdr>
        <w:top w:val="none" w:sz="0" w:space="0" w:color="auto"/>
        <w:left w:val="none" w:sz="0" w:space="0" w:color="auto"/>
        <w:bottom w:val="none" w:sz="0" w:space="0" w:color="auto"/>
        <w:right w:val="none" w:sz="0" w:space="0" w:color="auto"/>
      </w:divBdr>
    </w:div>
    <w:div w:id="1171063060">
      <w:bodyDiv w:val="1"/>
      <w:marLeft w:val="0"/>
      <w:marRight w:val="0"/>
      <w:marTop w:val="0"/>
      <w:marBottom w:val="0"/>
      <w:divBdr>
        <w:top w:val="none" w:sz="0" w:space="0" w:color="auto"/>
        <w:left w:val="none" w:sz="0" w:space="0" w:color="auto"/>
        <w:bottom w:val="none" w:sz="0" w:space="0" w:color="auto"/>
        <w:right w:val="none" w:sz="0" w:space="0" w:color="auto"/>
      </w:divBdr>
    </w:div>
    <w:div w:id="1223755248">
      <w:bodyDiv w:val="1"/>
      <w:marLeft w:val="0"/>
      <w:marRight w:val="0"/>
      <w:marTop w:val="0"/>
      <w:marBottom w:val="0"/>
      <w:divBdr>
        <w:top w:val="none" w:sz="0" w:space="0" w:color="auto"/>
        <w:left w:val="none" w:sz="0" w:space="0" w:color="auto"/>
        <w:bottom w:val="none" w:sz="0" w:space="0" w:color="auto"/>
        <w:right w:val="none" w:sz="0" w:space="0" w:color="auto"/>
      </w:divBdr>
    </w:div>
    <w:div w:id="1380671557">
      <w:bodyDiv w:val="1"/>
      <w:marLeft w:val="0"/>
      <w:marRight w:val="0"/>
      <w:marTop w:val="0"/>
      <w:marBottom w:val="0"/>
      <w:divBdr>
        <w:top w:val="none" w:sz="0" w:space="0" w:color="auto"/>
        <w:left w:val="none" w:sz="0" w:space="0" w:color="auto"/>
        <w:bottom w:val="none" w:sz="0" w:space="0" w:color="auto"/>
        <w:right w:val="none" w:sz="0" w:space="0" w:color="auto"/>
      </w:divBdr>
    </w:div>
    <w:div w:id="1448619528">
      <w:bodyDiv w:val="1"/>
      <w:marLeft w:val="0"/>
      <w:marRight w:val="0"/>
      <w:marTop w:val="0"/>
      <w:marBottom w:val="0"/>
      <w:divBdr>
        <w:top w:val="none" w:sz="0" w:space="0" w:color="auto"/>
        <w:left w:val="none" w:sz="0" w:space="0" w:color="auto"/>
        <w:bottom w:val="none" w:sz="0" w:space="0" w:color="auto"/>
        <w:right w:val="none" w:sz="0" w:space="0" w:color="auto"/>
      </w:divBdr>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nergy.ca.gov/appliances/database/historical_excel_files/2009-03-01_excel_based_files/Refrigeration" TargetMode="External"/><Relationship Id="rId3" Type="http://schemas.openxmlformats.org/officeDocument/2006/relationships/hyperlink" Target="http://www1.eere.energy.gov/femp/regulations/epact1992.html" TargetMode="External"/><Relationship Id="rId7" Type="http://schemas.openxmlformats.org/officeDocument/2006/relationships/hyperlink" Target="http://www.energystar.gov/index.cfm?fuseaction=refrig.calculator" TargetMode="External"/><Relationship Id="rId2" Type="http://schemas.openxmlformats.org/officeDocument/2006/relationships/hyperlink" Target="http://publicservice.vermont.gov/energy/ee_files/efficiency/eval/marivtreportfinal100104.pdf" TargetMode="External"/><Relationship Id="rId1" Type="http://schemas.openxmlformats.org/officeDocument/2006/relationships/hyperlink" Target="http://www.energycodes.gov/publications/code_books.stm" TargetMode="External"/><Relationship Id="rId6" Type="http://schemas.openxmlformats.org/officeDocument/2006/relationships/hyperlink" Target="http://www.energystar.gov/index.cfm?fuseaction=find_a_product.showProductGroup&amp;pgw_code=LB" TargetMode="External"/><Relationship Id="rId5" Type="http://schemas.openxmlformats.org/officeDocument/2006/relationships/hyperlink" Target="http://ftp.pjm.com/~/media/documents/manuals/m19.ashx" TargetMode="External"/><Relationship Id="rId4" Type="http://schemas.openxmlformats.org/officeDocument/2006/relationships/hyperlink" Target="http://www.nema.org/gov/energy/efficiency/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726E-E028-4AC6-A6D7-153ABE57795E}">
  <ds:schemaRefs>
    <ds:schemaRef ds:uri="http://schemas.openxmlformats.org/officeDocument/2006/bibliography"/>
  </ds:schemaRefs>
</ds:datastoreItem>
</file>

<file path=customXml/itemProps2.xml><?xml version="1.0" encoding="utf-8"?>
<ds:datastoreItem xmlns:ds="http://schemas.openxmlformats.org/officeDocument/2006/customXml" ds:itemID="{D1512CAB-9D40-41B4-9494-E4EA4A9CFAF6}">
  <ds:schemaRefs>
    <ds:schemaRef ds:uri="http://schemas.openxmlformats.org/officeDocument/2006/bibliography"/>
  </ds:schemaRefs>
</ds:datastoreItem>
</file>

<file path=customXml/itemProps3.xml><?xml version="1.0" encoding="utf-8"?>
<ds:datastoreItem xmlns:ds="http://schemas.openxmlformats.org/officeDocument/2006/customXml" ds:itemID="{B279AFB0-254F-4A40-8AD5-CDE55FBF5B3E}">
  <ds:schemaRefs>
    <ds:schemaRef ds:uri="http://schemas.openxmlformats.org/officeDocument/2006/bibliography"/>
  </ds:schemaRefs>
</ds:datastoreItem>
</file>

<file path=customXml/itemProps4.xml><?xml version="1.0" encoding="utf-8"?>
<ds:datastoreItem xmlns:ds="http://schemas.openxmlformats.org/officeDocument/2006/customXml" ds:itemID="{C50ED799-6292-4476-98DC-B303A94EE03C}">
  <ds:schemaRefs>
    <ds:schemaRef ds:uri="http://schemas.openxmlformats.org/officeDocument/2006/bibliography"/>
  </ds:schemaRefs>
</ds:datastoreItem>
</file>

<file path=customXml/itemProps5.xml><?xml version="1.0" encoding="utf-8"?>
<ds:datastoreItem xmlns:ds="http://schemas.openxmlformats.org/officeDocument/2006/customXml" ds:itemID="{3B80E801-E48D-4CD6-A3DD-7A45478D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12910</Words>
  <Characters>73587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dmaher</dc:creator>
  <cp:lastModifiedBy>joyce marie farner</cp:lastModifiedBy>
  <cp:revision>5</cp:revision>
  <cp:lastPrinted>2011-02-28T13:02:00Z</cp:lastPrinted>
  <dcterms:created xsi:type="dcterms:W3CDTF">2011-02-02T16:02:00Z</dcterms:created>
  <dcterms:modified xsi:type="dcterms:W3CDTF">2011-02-28T13:02:00Z</dcterms:modified>
</cp:coreProperties>
</file>