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74A51">
        <w:trPr>
          <w:trHeight w:val="990"/>
        </w:trPr>
        <w:tc>
          <w:tcPr>
            <w:tcW w:w="1363" w:type="dxa"/>
          </w:tcPr>
          <w:p w:rsidR="00C74A51" w:rsidRDefault="00D6076C">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7C013C" w:rsidRDefault="007C013C" w:rsidP="00D31FDE">
      <w:pPr>
        <w:jc w:val="center"/>
        <w:rPr>
          <w:sz w:val="24"/>
          <w:szCs w:val="24"/>
        </w:rPr>
      </w:pPr>
    </w:p>
    <w:p w:rsidR="00660392" w:rsidRPr="001E42C1" w:rsidRDefault="0032492B" w:rsidP="00D31FDE">
      <w:pPr>
        <w:jc w:val="center"/>
        <w:rPr>
          <w:sz w:val="24"/>
          <w:szCs w:val="24"/>
        </w:rPr>
      </w:pPr>
      <w:r>
        <w:rPr>
          <w:sz w:val="24"/>
          <w:szCs w:val="24"/>
        </w:rPr>
        <w:t xml:space="preserve">February </w:t>
      </w:r>
      <w:r w:rsidR="00B552E8">
        <w:rPr>
          <w:sz w:val="24"/>
          <w:szCs w:val="24"/>
        </w:rPr>
        <w:t>1</w:t>
      </w:r>
      <w:r w:rsidR="00292117">
        <w:rPr>
          <w:sz w:val="24"/>
          <w:szCs w:val="24"/>
        </w:rPr>
        <w:t>6</w:t>
      </w:r>
      <w:r>
        <w:rPr>
          <w:sz w:val="24"/>
          <w:szCs w:val="24"/>
        </w:rPr>
        <w:t>, 2011</w:t>
      </w:r>
    </w:p>
    <w:p w:rsidR="00DE4640" w:rsidRPr="001E42C1" w:rsidRDefault="00DE4640" w:rsidP="00DE4640">
      <w:pPr>
        <w:tabs>
          <w:tab w:val="center" w:pos="0"/>
          <w:tab w:val="left" w:pos="720"/>
        </w:tabs>
        <w:jc w:val="center"/>
        <w:rPr>
          <w:sz w:val="24"/>
          <w:szCs w:val="24"/>
        </w:rPr>
      </w:pPr>
    </w:p>
    <w:p w:rsidR="00DE4640" w:rsidRDefault="00DE4640" w:rsidP="00A22CB9">
      <w:pPr>
        <w:tabs>
          <w:tab w:val="center" w:pos="0"/>
          <w:tab w:val="left" w:pos="720"/>
        </w:tabs>
        <w:rPr>
          <w:sz w:val="24"/>
          <w:szCs w:val="24"/>
        </w:rPr>
      </w:pPr>
      <w:r w:rsidRPr="001E42C1">
        <w:rPr>
          <w:sz w:val="24"/>
          <w:szCs w:val="24"/>
        </w:rPr>
        <w:t>To:</w:t>
      </w:r>
      <w:r w:rsidRPr="001E42C1">
        <w:rPr>
          <w:sz w:val="24"/>
          <w:szCs w:val="24"/>
        </w:rPr>
        <w:tab/>
      </w:r>
      <w:r w:rsidR="00CE0A86" w:rsidRPr="001E42C1">
        <w:rPr>
          <w:sz w:val="24"/>
          <w:szCs w:val="24"/>
        </w:rPr>
        <w:tab/>
      </w:r>
      <w:r w:rsidR="006A6D77" w:rsidRPr="001E42C1">
        <w:rPr>
          <w:sz w:val="24"/>
          <w:szCs w:val="24"/>
        </w:rPr>
        <w:t>Electric Generation Suppliers</w:t>
      </w:r>
      <w:r w:rsidR="00EE51E5">
        <w:rPr>
          <w:sz w:val="24"/>
          <w:szCs w:val="24"/>
        </w:rPr>
        <w:t xml:space="preserve"> and Electric Distribution Companies</w:t>
      </w:r>
    </w:p>
    <w:p w:rsidR="00EE51E5" w:rsidRDefault="00EE51E5" w:rsidP="00A22CB9">
      <w:pPr>
        <w:tabs>
          <w:tab w:val="center" w:pos="0"/>
          <w:tab w:val="left" w:pos="720"/>
        </w:tabs>
        <w:rPr>
          <w:sz w:val="24"/>
          <w:szCs w:val="24"/>
        </w:rPr>
      </w:pPr>
    </w:p>
    <w:p w:rsidR="00EE51E5" w:rsidRPr="001E42C1" w:rsidRDefault="00EE51E5" w:rsidP="00A22CB9">
      <w:pPr>
        <w:tabs>
          <w:tab w:val="center" w:pos="0"/>
          <w:tab w:val="left" w:pos="720"/>
        </w:tabs>
        <w:rPr>
          <w:sz w:val="24"/>
          <w:szCs w:val="24"/>
        </w:rPr>
      </w:pPr>
      <w:r>
        <w:rPr>
          <w:sz w:val="24"/>
          <w:szCs w:val="24"/>
        </w:rPr>
        <w:t>Re:</w:t>
      </w:r>
      <w:r>
        <w:rPr>
          <w:sz w:val="24"/>
          <w:szCs w:val="24"/>
        </w:rPr>
        <w:tab/>
      </w:r>
      <w:r>
        <w:rPr>
          <w:sz w:val="24"/>
          <w:szCs w:val="24"/>
        </w:rPr>
        <w:tab/>
        <w:t xml:space="preserve">Budget Billing Obligation </w:t>
      </w:r>
      <w:r w:rsidR="0032492B">
        <w:rPr>
          <w:sz w:val="24"/>
          <w:szCs w:val="24"/>
        </w:rPr>
        <w:t>for Dynamically-Priced Products</w:t>
      </w:r>
    </w:p>
    <w:p w:rsidR="00DE4640" w:rsidRPr="001E42C1" w:rsidRDefault="00DE4640" w:rsidP="00DE4640">
      <w:pPr>
        <w:tabs>
          <w:tab w:val="center" w:pos="0"/>
          <w:tab w:val="left" w:pos="720"/>
        </w:tabs>
        <w:rPr>
          <w:sz w:val="24"/>
          <w:szCs w:val="24"/>
        </w:rPr>
      </w:pPr>
    </w:p>
    <w:p w:rsidR="003C47AB" w:rsidRPr="001E42C1" w:rsidRDefault="003C47AB" w:rsidP="003C47AB">
      <w:pPr>
        <w:tabs>
          <w:tab w:val="center" w:pos="0"/>
          <w:tab w:val="left" w:pos="720"/>
        </w:tabs>
        <w:rPr>
          <w:sz w:val="24"/>
          <w:szCs w:val="24"/>
        </w:rPr>
      </w:pPr>
      <w:r w:rsidRPr="001E42C1">
        <w:rPr>
          <w:sz w:val="24"/>
          <w:szCs w:val="24"/>
        </w:rPr>
        <w:t>Docket No.:</w:t>
      </w:r>
      <w:r w:rsidRPr="001E42C1">
        <w:rPr>
          <w:sz w:val="24"/>
          <w:szCs w:val="24"/>
        </w:rPr>
        <w:tab/>
      </w:r>
      <w:r w:rsidR="00AA146A">
        <w:rPr>
          <w:sz w:val="24"/>
          <w:szCs w:val="24"/>
        </w:rPr>
        <w:t>M-2009-2082042</w:t>
      </w:r>
    </w:p>
    <w:p w:rsidR="003C47AB" w:rsidRPr="001E42C1" w:rsidRDefault="003C47AB" w:rsidP="003C47AB">
      <w:pPr>
        <w:tabs>
          <w:tab w:val="center" w:pos="0"/>
          <w:tab w:val="left" w:pos="720"/>
        </w:tabs>
        <w:rPr>
          <w:sz w:val="24"/>
          <w:szCs w:val="24"/>
        </w:rPr>
      </w:pPr>
    </w:p>
    <w:p w:rsidR="00EE51E5" w:rsidRDefault="003C47AB" w:rsidP="00EE51E5">
      <w:pPr>
        <w:tabs>
          <w:tab w:val="center" w:pos="0"/>
          <w:tab w:val="left" w:pos="720"/>
        </w:tabs>
        <w:rPr>
          <w:sz w:val="24"/>
          <w:szCs w:val="24"/>
        </w:rPr>
      </w:pPr>
      <w:r w:rsidRPr="001E42C1">
        <w:rPr>
          <w:sz w:val="24"/>
          <w:szCs w:val="24"/>
        </w:rPr>
        <w:tab/>
      </w:r>
    </w:p>
    <w:p w:rsidR="00EE51E5" w:rsidRPr="00D507F7" w:rsidRDefault="00FF6A41" w:rsidP="00EE51E5">
      <w:pPr>
        <w:ind w:firstLine="720"/>
        <w:rPr>
          <w:sz w:val="24"/>
          <w:szCs w:val="24"/>
        </w:rPr>
      </w:pPr>
      <w:r>
        <w:rPr>
          <w:sz w:val="24"/>
          <w:szCs w:val="24"/>
        </w:rPr>
        <w:t>The Commission is aware of</w:t>
      </w:r>
      <w:r w:rsidR="00D507F7">
        <w:rPr>
          <w:sz w:val="24"/>
          <w:szCs w:val="24"/>
        </w:rPr>
        <w:t xml:space="preserve"> questions that have arisen about whether electric generation suppliers (EGSs) that are offering dynamically-priced products must provide a budget billing option to customers.  </w:t>
      </w:r>
      <w:r w:rsidR="00DD09D7">
        <w:rPr>
          <w:sz w:val="24"/>
          <w:szCs w:val="24"/>
        </w:rPr>
        <w:t>At our request, the</w:t>
      </w:r>
      <w:r>
        <w:rPr>
          <w:sz w:val="24"/>
          <w:szCs w:val="24"/>
        </w:rPr>
        <w:t xml:space="preserve"> Office of Competitive Market Oversight (</w:t>
      </w:r>
      <w:r w:rsidR="00D507F7">
        <w:rPr>
          <w:sz w:val="24"/>
          <w:szCs w:val="24"/>
        </w:rPr>
        <w:t>OCMO</w:t>
      </w:r>
      <w:r>
        <w:rPr>
          <w:sz w:val="24"/>
          <w:szCs w:val="24"/>
        </w:rPr>
        <w:t>)</w:t>
      </w:r>
      <w:r w:rsidR="00D507F7">
        <w:rPr>
          <w:sz w:val="24"/>
          <w:szCs w:val="24"/>
        </w:rPr>
        <w:t xml:space="preserve"> has discussed these </w:t>
      </w:r>
      <w:r w:rsidR="0032492B">
        <w:rPr>
          <w:sz w:val="24"/>
          <w:szCs w:val="24"/>
        </w:rPr>
        <w:t>issues</w:t>
      </w:r>
      <w:r w:rsidR="00D507F7">
        <w:rPr>
          <w:sz w:val="24"/>
          <w:szCs w:val="24"/>
        </w:rPr>
        <w:t xml:space="preserve"> with the Committee Handling Activities for Retail Growth in Electricity (CHARGE)</w:t>
      </w:r>
      <w:r w:rsidR="00DD09D7">
        <w:rPr>
          <w:sz w:val="24"/>
          <w:szCs w:val="24"/>
        </w:rPr>
        <w:t xml:space="preserve">.  </w:t>
      </w:r>
      <w:r w:rsidR="0032492B">
        <w:rPr>
          <w:sz w:val="24"/>
          <w:szCs w:val="24"/>
        </w:rPr>
        <w:t>Consistent with the consensus among CHARGE members participating in that discussion, we</w:t>
      </w:r>
      <w:r w:rsidR="00D507F7">
        <w:rPr>
          <w:sz w:val="24"/>
          <w:szCs w:val="24"/>
        </w:rPr>
        <w:t xml:space="preserve"> are clarifying that EGSs are exempt from the budget billing</w:t>
      </w:r>
      <w:r w:rsidR="0032492B">
        <w:rPr>
          <w:sz w:val="24"/>
          <w:szCs w:val="24"/>
        </w:rPr>
        <w:t xml:space="preserve"> </w:t>
      </w:r>
      <w:r w:rsidR="00D507F7">
        <w:rPr>
          <w:sz w:val="24"/>
          <w:szCs w:val="24"/>
        </w:rPr>
        <w:t>obligation</w:t>
      </w:r>
      <w:r w:rsidR="005A60B3">
        <w:rPr>
          <w:sz w:val="24"/>
          <w:szCs w:val="24"/>
        </w:rPr>
        <w:t xml:space="preserve"> when offering dynamically-priced products to residential customers.</w:t>
      </w:r>
      <w:r w:rsidR="00EE51E5" w:rsidRPr="00D507F7">
        <w:rPr>
          <w:sz w:val="24"/>
          <w:szCs w:val="24"/>
        </w:rPr>
        <w:t xml:space="preserve"> </w:t>
      </w:r>
    </w:p>
    <w:p w:rsidR="00EE51E5" w:rsidRPr="00D507F7" w:rsidRDefault="00EE51E5" w:rsidP="00EE51E5">
      <w:pPr>
        <w:ind w:firstLine="720"/>
        <w:rPr>
          <w:sz w:val="24"/>
          <w:szCs w:val="24"/>
        </w:rPr>
      </w:pPr>
    </w:p>
    <w:p w:rsidR="00EE51E5" w:rsidRPr="00D507F7" w:rsidRDefault="00EE51E5" w:rsidP="00EE51E5">
      <w:pPr>
        <w:ind w:firstLine="720"/>
        <w:rPr>
          <w:sz w:val="24"/>
          <w:szCs w:val="24"/>
        </w:rPr>
      </w:pPr>
      <w:r w:rsidRPr="00D507F7">
        <w:rPr>
          <w:sz w:val="24"/>
          <w:szCs w:val="24"/>
        </w:rPr>
        <w:t xml:space="preserve">In the context of this </w:t>
      </w:r>
      <w:r w:rsidR="005A60B3">
        <w:rPr>
          <w:sz w:val="24"/>
          <w:szCs w:val="24"/>
        </w:rPr>
        <w:t>Secretarial Letter</w:t>
      </w:r>
      <w:r w:rsidRPr="00D507F7">
        <w:rPr>
          <w:sz w:val="24"/>
          <w:szCs w:val="24"/>
        </w:rPr>
        <w:t xml:space="preserve">, dynamically-priced products represent those offerings that fluctuate in price, at a maximum by month, based on wholesale electric market trends and/or offer differing rates and rebates based on peak/off-peak usage periods. Examples of some dynamically-priced product offerings include monthly, daily, time-of-use, real-time, critical-peak, and peak-time rebate pricing.  </w:t>
      </w:r>
    </w:p>
    <w:p w:rsidR="00EE51E5" w:rsidRPr="00D507F7" w:rsidRDefault="00EE51E5" w:rsidP="00EE51E5">
      <w:pPr>
        <w:rPr>
          <w:sz w:val="24"/>
          <w:szCs w:val="24"/>
        </w:rPr>
      </w:pPr>
    </w:p>
    <w:p w:rsidR="00EE51E5" w:rsidRPr="00D507F7" w:rsidRDefault="00EE51E5" w:rsidP="00EE51E5">
      <w:pPr>
        <w:ind w:firstLine="720"/>
        <w:rPr>
          <w:sz w:val="24"/>
          <w:szCs w:val="24"/>
        </w:rPr>
      </w:pPr>
      <w:r w:rsidRPr="00D507F7">
        <w:rPr>
          <w:sz w:val="24"/>
          <w:szCs w:val="24"/>
        </w:rPr>
        <w:t xml:space="preserve">The budget billing obligation is in Chapter 56 of the Commission’s regulations and requires that “a gas, electric and steam heating utility shall provide its residential ratepayers with an optional billing procedure which averages estimated utility service costs over a 10-month, 11-month or 12-month period to eliminate, to the extent possible, seasonal fluctuations in utility bills.”  </w:t>
      </w:r>
      <w:proofErr w:type="gramStart"/>
      <w:r w:rsidRPr="00D507F7">
        <w:rPr>
          <w:sz w:val="24"/>
          <w:szCs w:val="24"/>
        </w:rPr>
        <w:t>52 Pa. Code §56.12(7).</w:t>
      </w:r>
      <w:proofErr w:type="gramEnd"/>
      <w:r w:rsidRPr="00D507F7">
        <w:rPr>
          <w:sz w:val="24"/>
          <w:szCs w:val="24"/>
        </w:rPr>
        <w:t xml:space="preserve">  Section 2809(e) of the Public Utility Code obligates the Commission to impose requirements on EGSs that are necessary to ensure that the Chapter 56 standards and billing practices for residential service are maintained.  </w:t>
      </w:r>
      <w:proofErr w:type="gramStart"/>
      <w:r w:rsidRPr="00D507F7">
        <w:rPr>
          <w:sz w:val="24"/>
          <w:szCs w:val="24"/>
        </w:rPr>
        <w:t xml:space="preserve">66 </w:t>
      </w:r>
      <w:proofErr w:type="spellStart"/>
      <w:r w:rsidRPr="00D507F7">
        <w:rPr>
          <w:sz w:val="24"/>
          <w:szCs w:val="24"/>
        </w:rPr>
        <w:t>Pa.C.S</w:t>
      </w:r>
      <w:proofErr w:type="spellEnd"/>
      <w:r w:rsidRPr="00D507F7">
        <w:rPr>
          <w:sz w:val="24"/>
          <w:szCs w:val="24"/>
        </w:rPr>
        <w:t>.</w:t>
      </w:r>
      <w:proofErr w:type="gramEnd"/>
      <w:r w:rsidRPr="00D507F7">
        <w:rPr>
          <w:sz w:val="24"/>
          <w:szCs w:val="24"/>
        </w:rPr>
        <w:t xml:space="preserve"> §2809(e).  This provision also authorizes the Commission to forbear from applying any requirements of the Public Utility Code that are unnecessary due to competition among electric generation suppliers.</w:t>
      </w:r>
    </w:p>
    <w:p w:rsidR="00EE51E5" w:rsidRPr="00D507F7" w:rsidRDefault="00EE51E5" w:rsidP="00EE51E5">
      <w:pPr>
        <w:ind w:firstLine="720"/>
        <w:rPr>
          <w:sz w:val="24"/>
          <w:szCs w:val="24"/>
        </w:rPr>
      </w:pPr>
    </w:p>
    <w:p w:rsidR="00EE51E5" w:rsidRPr="00D507F7" w:rsidRDefault="00EE51E5" w:rsidP="00EE51E5">
      <w:pPr>
        <w:rPr>
          <w:sz w:val="24"/>
          <w:szCs w:val="24"/>
        </w:rPr>
      </w:pPr>
      <w:r w:rsidRPr="00D507F7">
        <w:rPr>
          <w:sz w:val="24"/>
          <w:szCs w:val="24"/>
        </w:rPr>
        <w:tab/>
        <w:t>In our view, exempting EGSs that are offering dynamically-priced supply products from the budget billing obligation in no way jeopardizes the consumer protections afforded by Chapter 56 and would be beneficial to the development of the retail electric market.  Nonetheless, we reiterate the Commission’s long-standing requirement that budget billing be made available for residential consumers who purchase conventionally-priced service (</w:t>
      </w:r>
      <w:r w:rsidRPr="00FF6A41">
        <w:rPr>
          <w:i/>
          <w:sz w:val="24"/>
          <w:szCs w:val="24"/>
        </w:rPr>
        <w:t>Budget Billing Obligations of Electric Generation Suppliers</w:t>
      </w:r>
      <w:r w:rsidRPr="00D507F7">
        <w:rPr>
          <w:sz w:val="24"/>
          <w:szCs w:val="24"/>
        </w:rPr>
        <w:t xml:space="preserve">, M-00960890F0011, </w:t>
      </w:r>
      <w:r w:rsidR="00FF6A41">
        <w:rPr>
          <w:sz w:val="24"/>
          <w:szCs w:val="24"/>
        </w:rPr>
        <w:t xml:space="preserve">Order entered </w:t>
      </w:r>
      <w:r w:rsidRPr="00D507F7">
        <w:rPr>
          <w:sz w:val="24"/>
          <w:szCs w:val="24"/>
        </w:rPr>
        <w:t xml:space="preserve">June 18, 1998).  </w:t>
      </w:r>
    </w:p>
    <w:p w:rsidR="00EE51E5" w:rsidRPr="00D507F7" w:rsidRDefault="00EE51E5" w:rsidP="00EE51E5">
      <w:pPr>
        <w:rPr>
          <w:sz w:val="24"/>
          <w:szCs w:val="24"/>
        </w:rPr>
      </w:pPr>
    </w:p>
    <w:p w:rsidR="00FF6A41" w:rsidRDefault="00EE51E5" w:rsidP="00EE51E5">
      <w:pPr>
        <w:ind w:firstLine="720"/>
        <w:rPr>
          <w:sz w:val="24"/>
          <w:szCs w:val="24"/>
        </w:rPr>
      </w:pPr>
      <w:r w:rsidRPr="00D507F7">
        <w:rPr>
          <w:sz w:val="24"/>
          <w:szCs w:val="24"/>
        </w:rPr>
        <w:t xml:space="preserve">Particularly to the extent that dynamically-priced supply products fluctuate based on price signals from the wholesale market and/or incentivize end-users to adjust electric usage patterns, it would seem counterproductive to insist that residential customers be afforded a budget billing option when selecting these products.   Indeed, dynamically-priced supply products are more consistent with the overall conservation goals of Act 129 of 2008, and budget </w:t>
      </w:r>
    </w:p>
    <w:p w:rsidR="00FF6A41" w:rsidRDefault="00FF6A41" w:rsidP="00FF6A41">
      <w:pPr>
        <w:rPr>
          <w:sz w:val="24"/>
          <w:szCs w:val="24"/>
        </w:rPr>
      </w:pPr>
    </w:p>
    <w:p w:rsidR="00FF6A41" w:rsidRDefault="00FF6A41" w:rsidP="00FF6A41">
      <w:pPr>
        <w:rPr>
          <w:sz w:val="24"/>
          <w:szCs w:val="24"/>
        </w:rPr>
      </w:pPr>
    </w:p>
    <w:p w:rsidR="00FF6A41" w:rsidRDefault="00FF6A41" w:rsidP="00FF6A41">
      <w:pPr>
        <w:rPr>
          <w:sz w:val="24"/>
          <w:szCs w:val="24"/>
        </w:rPr>
      </w:pPr>
    </w:p>
    <w:p w:rsidR="00FF6A41" w:rsidRDefault="00FF6A41" w:rsidP="00FF6A41">
      <w:pPr>
        <w:rPr>
          <w:sz w:val="24"/>
          <w:szCs w:val="24"/>
        </w:rPr>
      </w:pPr>
    </w:p>
    <w:p w:rsidR="00EE51E5" w:rsidRPr="00D507F7" w:rsidRDefault="00EE51E5" w:rsidP="00FF6A41">
      <w:pPr>
        <w:rPr>
          <w:sz w:val="24"/>
          <w:szCs w:val="24"/>
        </w:rPr>
      </w:pPr>
      <w:proofErr w:type="gramStart"/>
      <w:r w:rsidRPr="00D507F7">
        <w:rPr>
          <w:sz w:val="24"/>
          <w:szCs w:val="24"/>
        </w:rPr>
        <w:t>billing</w:t>
      </w:r>
      <w:proofErr w:type="gramEnd"/>
      <w:r w:rsidRPr="00D507F7">
        <w:rPr>
          <w:sz w:val="24"/>
          <w:szCs w:val="24"/>
        </w:rPr>
        <w:t xml:space="preserve"> can interfere with the consumers’ ability to readily obtain the information needed to adjust their consumption and demand in response to price signals.</w:t>
      </w:r>
    </w:p>
    <w:p w:rsidR="00EE51E5" w:rsidRPr="00EE51E5" w:rsidRDefault="00EE51E5" w:rsidP="00EE51E5">
      <w:pPr>
        <w:ind w:firstLine="720"/>
        <w:rPr>
          <w:rFonts w:ascii="Arial" w:hAnsi="Arial" w:cs="Arial"/>
          <w:sz w:val="24"/>
          <w:szCs w:val="24"/>
        </w:rPr>
      </w:pPr>
    </w:p>
    <w:p w:rsidR="00EE51E5" w:rsidRPr="00FF6A41" w:rsidRDefault="00EE51E5" w:rsidP="00EE51E5">
      <w:pPr>
        <w:ind w:firstLine="720"/>
        <w:rPr>
          <w:rFonts w:cs="Arial"/>
          <w:sz w:val="24"/>
          <w:szCs w:val="24"/>
        </w:rPr>
      </w:pPr>
      <w:r w:rsidRPr="00FF6A41">
        <w:rPr>
          <w:rFonts w:cs="Arial"/>
          <w:sz w:val="24"/>
          <w:szCs w:val="24"/>
        </w:rPr>
        <w:t>Residential customers who wish to avail themselves of a budget billing option would either choose a different EGS</w:t>
      </w:r>
      <w:r w:rsidR="005900BF">
        <w:rPr>
          <w:rFonts w:cs="Arial"/>
          <w:sz w:val="24"/>
          <w:szCs w:val="24"/>
        </w:rPr>
        <w:t>, a fixed priced product of the same EGS, if offered,</w:t>
      </w:r>
      <w:r w:rsidRPr="00FF6A41">
        <w:rPr>
          <w:rFonts w:cs="Arial"/>
          <w:sz w:val="24"/>
          <w:szCs w:val="24"/>
        </w:rPr>
        <w:t xml:space="preserve"> or remain with the default service provider.   If residential customers prefer the certainty of a budget billing option and are reluctant to accept dynamically-priced supply products without that feature, EGSs in the market offering such products would have to make a business decision of whether to respond to the desires of those consumers.  </w:t>
      </w:r>
    </w:p>
    <w:p w:rsidR="0032492B" w:rsidRDefault="0032492B" w:rsidP="00EE51E5">
      <w:pPr>
        <w:rPr>
          <w:sz w:val="24"/>
          <w:szCs w:val="24"/>
        </w:rPr>
      </w:pPr>
    </w:p>
    <w:p w:rsidR="00EE51E5" w:rsidRPr="00FF6A41" w:rsidRDefault="0032492B" w:rsidP="0032492B">
      <w:pPr>
        <w:ind w:firstLine="720"/>
        <w:rPr>
          <w:rFonts w:cs="Arial"/>
          <w:sz w:val="24"/>
          <w:szCs w:val="24"/>
        </w:rPr>
      </w:pPr>
      <w:r w:rsidRPr="001E42C1">
        <w:rPr>
          <w:sz w:val="24"/>
          <w:szCs w:val="24"/>
        </w:rPr>
        <w:t xml:space="preserve">Any questions about this </w:t>
      </w:r>
      <w:r>
        <w:rPr>
          <w:sz w:val="24"/>
          <w:szCs w:val="24"/>
        </w:rPr>
        <w:t>Secretarial Letter</w:t>
      </w:r>
      <w:r w:rsidRPr="001E42C1">
        <w:rPr>
          <w:sz w:val="24"/>
          <w:szCs w:val="24"/>
        </w:rPr>
        <w:t xml:space="preserve"> should be directed to the Office of Competitive Market Oversight by email at </w:t>
      </w:r>
      <w:hyperlink r:id="rId9" w:history="1">
        <w:r w:rsidRPr="001E42C1">
          <w:rPr>
            <w:rStyle w:val="Hyperlink"/>
            <w:sz w:val="24"/>
            <w:szCs w:val="24"/>
          </w:rPr>
          <w:t>ra-OCMO@state.pa.us</w:t>
        </w:r>
      </w:hyperlink>
      <w:r w:rsidRPr="001E42C1">
        <w:rPr>
          <w:sz w:val="24"/>
          <w:szCs w:val="24"/>
        </w:rPr>
        <w:t xml:space="preserve"> or by calling the Director of Operations at 717-783-5331</w:t>
      </w:r>
      <w:r>
        <w:rPr>
          <w:sz w:val="24"/>
          <w:szCs w:val="24"/>
        </w:rPr>
        <w:t xml:space="preserve">.  </w:t>
      </w:r>
    </w:p>
    <w:p w:rsidR="00EE51E5" w:rsidRPr="00FF6A41" w:rsidRDefault="00EE51E5" w:rsidP="00EE51E5">
      <w:pPr>
        <w:rPr>
          <w:rFonts w:cs="Arial"/>
          <w:sz w:val="24"/>
          <w:szCs w:val="24"/>
          <w:u w:val="single"/>
        </w:rPr>
      </w:pPr>
    </w:p>
    <w:p w:rsidR="00EE51E5" w:rsidRDefault="003F7879" w:rsidP="00EE51E5">
      <w:pPr>
        <w:rPr>
          <w:rFonts w:cs="Arial"/>
          <w:sz w:val="24"/>
          <w:szCs w:val="24"/>
        </w:rPr>
      </w:pPr>
      <w:r>
        <w:rPr>
          <w:rFonts w:cs="Arial"/>
          <w:noProof/>
          <w:sz w:val="24"/>
          <w:szCs w:val="24"/>
        </w:rPr>
        <w:drawing>
          <wp:anchor distT="0" distB="0" distL="114300" distR="114300" simplePos="0" relativeHeight="251658240" behindDoc="1" locked="0" layoutInCell="1" allowOverlap="1">
            <wp:simplePos x="0" y="0"/>
            <wp:positionH relativeFrom="column">
              <wp:posOffset>2333625</wp:posOffset>
            </wp:positionH>
            <wp:positionV relativeFrom="paragraph">
              <wp:posOffset>116205</wp:posOffset>
            </wp:positionV>
            <wp:extent cx="2200275" cy="838200"/>
            <wp:effectExtent l="19050" t="0" r="9525" b="0"/>
            <wp:wrapNone/>
            <wp:docPr id="7" name="Picture 7"/>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EE51E5" w:rsidRPr="00FF6A41">
        <w:rPr>
          <w:rFonts w:cs="Arial"/>
          <w:sz w:val="24"/>
          <w:szCs w:val="24"/>
        </w:rPr>
        <w:tab/>
      </w:r>
      <w:r w:rsidR="0032492B">
        <w:rPr>
          <w:rFonts w:cs="Arial"/>
          <w:sz w:val="24"/>
          <w:szCs w:val="24"/>
        </w:rPr>
        <w:tab/>
      </w:r>
      <w:r w:rsidR="0032492B">
        <w:rPr>
          <w:rFonts w:cs="Arial"/>
          <w:sz w:val="24"/>
          <w:szCs w:val="24"/>
        </w:rPr>
        <w:tab/>
      </w:r>
      <w:r w:rsidR="0032492B">
        <w:rPr>
          <w:rFonts w:cs="Arial"/>
          <w:sz w:val="24"/>
          <w:szCs w:val="24"/>
        </w:rPr>
        <w:tab/>
      </w:r>
      <w:r w:rsidR="0032492B">
        <w:rPr>
          <w:rFonts w:cs="Arial"/>
          <w:sz w:val="24"/>
          <w:szCs w:val="24"/>
        </w:rPr>
        <w:tab/>
      </w:r>
      <w:r w:rsidR="0032492B">
        <w:rPr>
          <w:rFonts w:cs="Arial"/>
          <w:sz w:val="24"/>
          <w:szCs w:val="24"/>
        </w:rPr>
        <w:tab/>
        <w:t>Very truly yours,</w:t>
      </w:r>
    </w:p>
    <w:p w:rsidR="0032492B" w:rsidRDefault="0032492B" w:rsidP="00EE51E5">
      <w:pPr>
        <w:rPr>
          <w:rFonts w:cs="Arial"/>
          <w:sz w:val="24"/>
          <w:szCs w:val="24"/>
        </w:rPr>
      </w:pPr>
    </w:p>
    <w:p w:rsidR="0032492B" w:rsidRDefault="0032492B" w:rsidP="00EE51E5">
      <w:pPr>
        <w:rPr>
          <w:rFonts w:cs="Arial"/>
          <w:sz w:val="24"/>
          <w:szCs w:val="24"/>
        </w:rPr>
      </w:pPr>
    </w:p>
    <w:p w:rsidR="0032492B" w:rsidRDefault="0032492B" w:rsidP="00EE51E5">
      <w:pPr>
        <w:rPr>
          <w:rFonts w:cs="Arial"/>
          <w:sz w:val="24"/>
          <w:szCs w:val="24"/>
        </w:rPr>
      </w:pPr>
    </w:p>
    <w:p w:rsidR="0032492B" w:rsidRDefault="0032492B" w:rsidP="00EE51E5">
      <w:pPr>
        <w:rPr>
          <w:rFonts w:cs="Arial"/>
          <w:sz w:val="24"/>
          <w:szCs w:val="24"/>
        </w:rPr>
      </w:pPr>
    </w:p>
    <w:p w:rsidR="0032492B" w:rsidRDefault="0032492B" w:rsidP="00EE51E5">
      <w:pPr>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Rosemary A. Chiavetta</w:t>
      </w:r>
    </w:p>
    <w:p w:rsidR="0032492B" w:rsidRDefault="0032492B" w:rsidP="00EE51E5">
      <w:pPr>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Secretary</w:t>
      </w:r>
    </w:p>
    <w:p w:rsidR="0032492B" w:rsidRDefault="0032492B" w:rsidP="00EE51E5">
      <w:pPr>
        <w:rPr>
          <w:rFonts w:cs="Arial"/>
          <w:sz w:val="24"/>
          <w:szCs w:val="24"/>
        </w:rPr>
      </w:pPr>
    </w:p>
    <w:p w:rsidR="0032492B" w:rsidRDefault="0032492B" w:rsidP="00EE51E5">
      <w:pPr>
        <w:rPr>
          <w:rFonts w:cs="Arial"/>
          <w:sz w:val="24"/>
          <w:szCs w:val="24"/>
        </w:rPr>
      </w:pPr>
    </w:p>
    <w:p w:rsidR="0032492B" w:rsidRPr="00FF6A41" w:rsidRDefault="0032492B" w:rsidP="00EE51E5">
      <w:pPr>
        <w:rPr>
          <w:rFonts w:cs="Arial"/>
          <w:b/>
          <w:szCs w:val="24"/>
        </w:rPr>
      </w:pPr>
      <w:r>
        <w:rPr>
          <w:rFonts w:cs="Arial"/>
          <w:sz w:val="24"/>
          <w:szCs w:val="24"/>
        </w:rPr>
        <w:t>cc:</w:t>
      </w:r>
      <w:r>
        <w:rPr>
          <w:rFonts w:cs="Arial"/>
          <w:sz w:val="24"/>
          <w:szCs w:val="24"/>
        </w:rPr>
        <w:tab/>
        <w:t>Office of Competitive Market Oversight</w:t>
      </w:r>
    </w:p>
    <w:p w:rsidR="00EE51E5" w:rsidRPr="0050278F" w:rsidRDefault="00EE51E5" w:rsidP="00EE51E5">
      <w:pPr>
        <w:rPr>
          <w:rFonts w:ascii="Arial" w:hAnsi="Arial" w:cs="Arial"/>
          <w:b/>
          <w:szCs w:val="24"/>
        </w:rPr>
      </w:pPr>
    </w:p>
    <w:p w:rsidR="00EE51E5" w:rsidRDefault="00EE51E5" w:rsidP="00EE51E5">
      <w:pPr>
        <w:tabs>
          <w:tab w:val="center" w:pos="0"/>
          <w:tab w:val="left" w:pos="720"/>
        </w:tabs>
        <w:rPr>
          <w:sz w:val="24"/>
          <w:szCs w:val="24"/>
        </w:rPr>
      </w:pPr>
    </w:p>
    <w:p w:rsidR="00EE51E5" w:rsidRDefault="00EE51E5" w:rsidP="00EE51E5">
      <w:pPr>
        <w:tabs>
          <w:tab w:val="center" w:pos="0"/>
          <w:tab w:val="left" w:pos="720"/>
        </w:tabs>
        <w:rPr>
          <w:sz w:val="24"/>
          <w:szCs w:val="24"/>
        </w:rPr>
      </w:pPr>
    </w:p>
    <w:p w:rsidR="00EE51E5" w:rsidRDefault="00EE51E5" w:rsidP="00EE51E5">
      <w:pPr>
        <w:tabs>
          <w:tab w:val="center" w:pos="0"/>
          <w:tab w:val="left" w:pos="720"/>
        </w:tabs>
        <w:rPr>
          <w:sz w:val="24"/>
          <w:szCs w:val="24"/>
        </w:rPr>
      </w:pPr>
    </w:p>
    <w:p w:rsidR="00EE51E5" w:rsidRDefault="00EE51E5" w:rsidP="00EE51E5">
      <w:pPr>
        <w:tabs>
          <w:tab w:val="center" w:pos="0"/>
          <w:tab w:val="left" w:pos="720"/>
        </w:tabs>
        <w:rPr>
          <w:sz w:val="24"/>
          <w:szCs w:val="24"/>
        </w:rPr>
      </w:pPr>
    </w:p>
    <w:p w:rsidR="00EE51E5" w:rsidRDefault="00EE51E5" w:rsidP="00EE51E5">
      <w:pPr>
        <w:tabs>
          <w:tab w:val="center" w:pos="0"/>
          <w:tab w:val="left" w:pos="720"/>
        </w:tabs>
        <w:rPr>
          <w:sz w:val="24"/>
          <w:szCs w:val="24"/>
        </w:rPr>
      </w:pPr>
    </w:p>
    <w:p w:rsidR="00EE51E5" w:rsidRDefault="00EE51E5" w:rsidP="00EE51E5">
      <w:pPr>
        <w:tabs>
          <w:tab w:val="center" w:pos="0"/>
          <w:tab w:val="left" w:pos="720"/>
        </w:tabs>
        <w:rPr>
          <w:sz w:val="24"/>
          <w:szCs w:val="24"/>
        </w:rPr>
      </w:pPr>
    </w:p>
    <w:p w:rsidR="00EE51E5" w:rsidRDefault="00EE51E5" w:rsidP="00EE51E5">
      <w:pPr>
        <w:tabs>
          <w:tab w:val="center" w:pos="0"/>
          <w:tab w:val="left" w:pos="720"/>
        </w:tabs>
        <w:rPr>
          <w:sz w:val="24"/>
          <w:szCs w:val="24"/>
        </w:rPr>
      </w:pPr>
    </w:p>
    <w:p w:rsidR="00EE51E5" w:rsidRDefault="00EE51E5" w:rsidP="00EE51E5">
      <w:pPr>
        <w:tabs>
          <w:tab w:val="center" w:pos="0"/>
          <w:tab w:val="left" w:pos="720"/>
        </w:tabs>
        <w:rPr>
          <w:sz w:val="24"/>
          <w:szCs w:val="24"/>
        </w:rPr>
      </w:pPr>
    </w:p>
    <w:p w:rsidR="00EE51E5" w:rsidRDefault="00EE51E5" w:rsidP="00EE51E5">
      <w:pPr>
        <w:tabs>
          <w:tab w:val="center" w:pos="0"/>
          <w:tab w:val="left" w:pos="720"/>
        </w:tabs>
        <w:rPr>
          <w:sz w:val="24"/>
          <w:szCs w:val="24"/>
        </w:rPr>
      </w:pPr>
    </w:p>
    <w:p w:rsidR="00EE51E5" w:rsidRDefault="00EE51E5" w:rsidP="00EE51E5">
      <w:pPr>
        <w:tabs>
          <w:tab w:val="center" w:pos="0"/>
          <w:tab w:val="left" w:pos="720"/>
        </w:tabs>
        <w:rPr>
          <w:sz w:val="24"/>
          <w:szCs w:val="24"/>
        </w:rPr>
      </w:pPr>
    </w:p>
    <w:p w:rsidR="00EE51E5" w:rsidRDefault="00EE51E5" w:rsidP="00EE51E5">
      <w:pPr>
        <w:tabs>
          <w:tab w:val="center" w:pos="0"/>
          <w:tab w:val="left" w:pos="720"/>
        </w:tabs>
        <w:rPr>
          <w:sz w:val="24"/>
          <w:szCs w:val="24"/>
        </w:rPr>
      </w:pPr>
    </w:p>
    <w:p w:rsidR="00EE51E5" w:rsidRPr="001E42C1" w:rsidRDefault="00EE51E5" w:rsidP="00EE51E5">
      <w:pPr>
        <w:tabs>
          <w:tab w:val="center" w:pos="0"/>
          <w:tab w:val="left" w:pos="720"/>
        </w:tabs>
        <w:rPr>
          <w:sz w:val="24"/>
          <w:szCs w:val="24"/>
        </w:rPr>
      </w:pPr>
    </w:p>
    <w:p w:rsidR="00C013B5" w:rsidRPr="001E42C1" w:rsidRDefault="00C013B5" w:rsidP="003C47AB">
      <w:pPr>
        <w:tabs>
          <w:tab w:val="center" w:pos="0"/>
          <w:tab w:val="left" w:pos="720"/>
        </w:tabs>
        <w:rPr>
          <w:sz w:val="24"/>
          <w:szCs w:val="24"/>
        </w:rPr>
      </w:pPr>
    </w:p>
    <w:sectPr w:rsidR="00C013B5" w:rsidRPr="001E42C1" w:rsidSect="00F1477A">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2AD" w:rsidRDefault="00F932AD">
      <w:r>
        <w:separator/>
      </w:r>
    </w:p>
  </w:endnote>
  <w:endnote w:type="continuationSeparator" w:id="0">
    <w:p w:rsidR="00F932AD" w:rsidRDefault="00F932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2AD" w:rsidRDefault="00F932AD">
      <w:r>
        <w:separator/>
      </w:r>
    </w:p>
  </w:footnote>
  <w:footnote w:type="continuationSeparator" w:id="0">
    <w:p w:rsidR="00F932AD" w:rsidRDefault="00F932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A7F2CA2"/>
    <w:multiLevelType w:val="hybridMultilevel"/>
    <w:tmpl w:val="F26A8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A7D4E85"/>
    <w:multiLevelType w:val="hybridMultilevel"/>
    <w:tmpl w:val="EFE269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74A51"/>
    <w:rsid w:val="00003211"/>
    <w:rsid w:val="0001391F"/>
    <w:rsid w:val="000212B2"/>
    <w:rsid w:val="000A1398"/>
    <w:rsid w:val="000A73E8"/>
    <w:rsid w:val="000C44F4"/>
    <w:rsid w:val="000F3CBA"/>
    <w:rsid w:val="001021E6"/>
    <w:rsid w:val="001209F1"/>
    <w:rsid w:val="0012697F"/>
    <w:rsid w:val="00147FD4"/>
    <w:rsid w:val="00155CFF"/>
    <w:rsid w:val="00172160"/>
    <w:rsid w:val="001C0A34"/>
    <w:rsid w:val="001E42C1"/>
    <w:rsid w:val="002120F7"/>
    <w:rsid w:val="002229C3"/>
    <w:rsid w:val="00246448"/>
    <w:rsid w:val="00265492"/>
    <w:rsid w:val="00265B04"/>
    <w:rsid w:val="0028086F"/>
    <w:rsid w:val="002841EF"/>
    <w:rsid w:val="00292117"/>
    <w:rsid w:val="0029471C"/>
    <w:rsid w:val="002C3F65"/>
    <w:rsid w:val="002F26D5"/>
    <w:rsid w:val="00314CEC"/>
    <w:rsid w:val="00315F7E"/>
    <w:rsid w:val="00316461"/>
    <w:rsid w:val="0032492B"/>
    <w:rsid w:val="003354D9"/>
    <w:rsid w:val="003675C5"/>
    <w:rsid w:val="00382A2A"/>
    <w:rsid w:val="00386091"/>
    <w:rsid w:val="00390D0A"/>
    <w:rsid w:val="003C47AB"/>
    <w:rsid w:val="003F7879"/>
    <w:rsid w:val="00461039"/>
    <w:rsid w:val="00497B2B"/>
    <w:rsid w:val="00497F56"/>
    <w:rsid w:val="004B0335"/>
    <w:rsid w:val="004D03A7"/>
    <w:rsid w:val="004D450A"/>
    <w:rsid w:val="005366BC"/>
    <w:rsid w:val="005860DF"/>
    <w:rsid w:val="005900BF"/>
    <w:rsid w:val="005A0E94"/>
    <w:rsid w:val="005A60B3"/>
    <w:rsid w:val="005E25C5"/>
    <w:rsid w:val="005F12A4"/>
    <w:rsid w:val="005F26EE"/>
    <w:rsid w:val="00625A68"/>
    <w:rsid w:val="00646A36"/>
    <w:rsid w:val="006559CD"/>
    <w:rsid w:val="00657663"/>
    <w:rsid w:val="00660392"/>
    <w:rsid w:val="00672D48"/>
    <w:rsid w:val="006737AD"/>
    <w:rsid w:val="006755C0"/>
    <w:rsid w:val="00683FA3"/>
    <w:rsid w:val="00687B72"/>
    <w:rsid w:val="006A3AB8"/>
    <w:rsid w:val="006A6D77"/>
    <w:rsid w:val="006D012C"/>
    <w:rsid w:val="006D54FA"/>
    <w:rsid w:val="006D5E56"/>
    <w:rsid w:val="0070327C"/>
    <w:rsid w:val="007130D4"/>
    <w:rsid w:val="00716F38"/>
    <w:rsid w:val="0071766C"/>
    <w:rsid w:val="00735C24"/>
    <w:rsid w:val="007A2F26"/>
    <w:rsid w:val="007A4569"/>
    <w:rsid w:val="007C013C"/>
    <w:rsid w:val="007C0FE6"/>
    <w:rsid w:val="007C3512"/>
    <w:rsid w:val="00812F99"/>
    <w:rsid w:val="00833B66"/>
    <w:rsid w:val="00835E08"/>
    <w:rsid w:val="00842188"/>
    <w:rsid w:val="008A10BF"/>
    <w:rsid w:val="008D10E7"/>
    <w:rsid w:val="00984DB0"/>
    <w:rsid w:val="009E177C"/>
    <w:rsid w:val="009F1B1E"/>
    <w:rsid w:val="009F5F66"/>
    <w:rsid w:val="00A12B62"/>
    <w:rsid w:val="00A22BCF"/>
    <w:rsid w:val="00A22CB9"/>
    <w:rsid w:val="00A45FBB"/>
    <w:rsid w:val="00A50A21"/>
    <w:rsid w:val="00A67E37"/>
    <w:rsid w:val="00A758FD"/>
    <w:rsid w:val="00A96B98"/>
    <w:rsid w:val="00AA146A"/>
    <w:rsid w:val="00AA4D39"/>
    <w:rsid w:val="00AF6ED2"/>
    <w:rsid w:val="00B2659E"/>
    <w:rsid w:val="00B552E8"/>
    <w:rsid w:val="00B72683"/>
    <w:rsid w:val="00BA0743"/>
    <w:rsid w:val="00BA6FEC"/>
    <w:rsid w:val="00BE5119"/>
    <w:rsid w:val="00C013B5"/>
    <w:rsid w:val="00C5722A"/>
    <w:rsid w:val="00C74A51"/>
    <w:rsid w:val="00C91B6D"/>
    <w:rsid w:val="00CA56CF"/>
    <w:rsid w:val="00CB1302"/>
    <w:rsid w:val="00CB5738"/>
    <w:rsid w:val="00CD1379"/>
    <w:rsid w:val="00CE0A86"/>
    <w:rsid w:val="00CE5BA5"/>
    <w:rsid w:val="00D15513"/>
    <w:rsid w:val="00D30DF5"/>
    <w:rsid w:val="00D31DE3"/>
    <w:rsid w:val="00D31FDE"/>
    <w:rsid w:val="00D33A2A"/>
    <w:rsid w:val="00D454F4"/>
    <w:rsid w:val="00D507F7"/>
    <w:rsid w:val="00D513C3"/>
    <w:rsid w:val="00D6076C"/>
    <w:rsid w:val="00D80694"/>
    <w:rsid w:val="00DD09D7"/>
    <w:rsid w:val="00DE4640"/>
    <w:rsid w:val="00DE7436"/>
    <w:rsid w:val="00EA0159"/>
    <w:rsid w:val="00EA5394"/>
    <w:rsid w:val="00ED6867"/>
    <w:rsid w:val="00EE51E5"/>
    <w:rsid w:val="00EF4379"/>
    <w:rsid w:val="00F1477A"/>
    <w:rsid w:val="00F546AA"/>
    <w:rsid w:val="00F652C5"/>
    <w:rsid w:val="00F7094C"/>
    <w:rsid w:val="00F76D78"/>
    <w:rsid w:val="00F77612"/>
    <w:rsid w:val="00F932AD"/>
    <w:rsid w:val="00FB4621"/>
    <w:rsid w:val="00FF6A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77A"/>
  </w:style>
  <w:style w:type="paragraph" w:styleId="Heading1">
    <w:name w:val="heading 1"/>
    <w:basedOn w:val="Normal"/>
    <w:next w:val="Normal"/>
    <w:qFormat/>
    <w:rsid w:val="00F1477A"/>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1477A"/>
    <w:pPr>
      <w:ind w:left="360"/>
    </w:pPr>
    <w:rPr>
      <w:sz w:val="24"/>
    </w:rPr>
  </w:style>
  <w:style w:type="paragraph" w:styleId="Header">
    <w:name w:val="header"/>
    <w:basedOn w:val="Normal"/>
    <w:rsid w:val="00F1477A"/>
    <w:pPr>
      <w:tabs>
        <w:tab w:val="center" w:pos="4320"/>
        <w:tab w:val="right" w:pos="8640"/>
      </w:tabs>
    </w:pPr>
  </w:style>
  <w:style w:type="paragraph" w:styleId="Footer">
    <w:name w:val="footer"/>
    <w:basedOn w:val="Normal"/>
    <w:rsid w:val="00F1477A"/>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basedOn w:val="DefaultParagraphFont"/>
    <w:rsid w:val="00315F7E"/>
    <w:rPr>
      <w:color w:val="0000FF"/>
      <w:u w:val="single"/>
    </w:rPr>
  </w:style>
  <w:style w:type="paragraph" w:styleId="ListParagraph">
    <w:name w:val="List Paragraph"/>
    <w:basedOn w:val="Normal"/>
    <w:uiPriority w:val="34"/>
    <w:qFormat/>
    <w:rsid w:val="00D15513"/>
    <w:pPr>
      <w:ind w:left="720"/>
      <w:contextualSpacing/>
    </w:pPr>
    <w:rPr>
      <w:sz w:val="26"/>
      <w:szCs w:val="24"/>
    </w:rPr>
  </w:style>
  <w:style w:type="paragraph" w:styleId="FootnoteText">
    <w:name w:val="footnote text"/>
    <w:basedOn w:val="Normal"/>
    <w:link w:val="FootnoteTextChar"/>
    <w:rsid w:val="00EE51E5"/>
    <w:rPr>
      <w:b/>
    </w:rPr>
  </w:style>
  <w:style w:type="character" w:customStyle="1" w:styleId="FootnoteTextChar">
    <w:name w:val="Footnote Text Char"/>
    <w:basedOn w:val="DefaultParagraphFont"/>
    <w:link w:val="FootnoteText"/>
    <w:rsid w:val="00EE51E5"/>
    <w:rPr>
      <w:b/>
    </w:rPr>
  </w:style>
  <w:style w:type="character" w:styleId="FootnoteReference">
    <w:name w:val="footnote reference"/>
    <w:basedOn w:val="DefaultParagraphFont"/>
    <w:rsid w:val="00EE51E5"/>
    <w:rPr>
      <w:vertAlign w:val="superscript"/>
    </w:rPr>
  </w:style>
</w:styles>
</file>

<file path=word/webSettings.xml><?xml version="1.0" encoding="utf-8"?>
<w:webSettings xmlns:r="http://schemas.openxmlformats.org/officeDocument/2006/relationships" xmlns:w="http://schemas.openxmlformats.org/wordprocessingml/2006/main">
  <w:divs>
    <w:div w:id="178803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ra-OCMO@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25FDF-F5EF-4CD7-BF29-B5D548C5B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4266</CharactersWithSpaces>
  <SharedDoc>false</SharedDoc>
  <HLinks>
    <vt:vector size="6" baseType="variant">
      <vt:variant>
        <vt:i4>786550</vt:i4>
      </vt:variant>
      <vt:variant>
        <vt:i4>0</vt:i4>
      </vt:variant>
      <vt:variant>
        <vt:i4>0</vt:i4>
      </vt:variant>
      <vt:variant>
        <vt:i4>5</vt:i4>
      </vt:variant>
      <vt:variant>
        <vt:lpwstr>mailto:ra-Act129@state.pa.us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NASON</dc:creator>
  <cp:keywords/>
  <dc:description/>
  <cp:lastModifiedBy>Administrator</cp:lastModifiedBy>
  <cp:revision>4</cp:revision>
  <cp:lastPrinted>2011-02-16T18:02:00Z</cp:lastPrinted>
  <dcterms:created xsi:type="dcterms:W3CDTF">2011-02-16T15:52:00Z</dcterms:created>
  <dcterms:modified xsi:type="dcterms:W3CDTF">2011-02-16T18:02:00Z</dcterms:modified>
</cp:coreProperties>
</file>