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8A92806" w14:textId="77777777">
        <w:trPr>
          <w:trHeight w:val="990"/>
        </w:trPr>
        <w:tc>
          <w:tcPr>
            <w:tcW w:w="1363" w:type="dxa"/>
          </w:tcPr>
          <w:p w14:paraId="7A2C6263" w14:textId="77777777" w:rsidR="00C74A51" w:rsidRDefault="009A57B8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0436DF63" wp14:editId="48247A4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3C7621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30A8BA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269D7A1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2608837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14:paraId="4C5655A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72015C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4F0295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C6DE0D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E577ED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DA98C5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C79D339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C711A77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0A11081F" w14:textId="77777777" w:rsidR="00C74A51" w:rsidRDefault="00C74A51" w:rsidP="001209F1">
      <w:pPr>
        <w:rPr>
          <w:sz w:val="26"/>
        </w:rPr>
      </w:pPr>
      <w: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="00BE5119">
        <w:tab/>
      </w:r>
    </w:p>
    <w:p w14:paraId="4A714C47" w14:textId="77777777" w:rsidR="00881113" w:rsidRDefault="00881113" w:rsidP="001209F1">
      <w:pPr>
        <w:rPr>
          <w:sz w:val="26"/>
        </w:rPr>
      </w:pPr>
    </w:p>
    <w:p w14:paraId="7788106A" w14:textId="77777777" w:rsidR="00881113" w:rsidRDefault="00881113" w:rsidP="001209F1">
      <w:pPr>
        <w:rPr>
          <w:sz w:val="26"/>
        </w:rPr>
      </w:pPr>
    </w:p>
    <w:p w14:paraId="39EA9D6E" w14:textId="77777777" w:rsidR="00724619" w:rsidRDefault="00724619" w:rsidP="001209F1">
      <w:pPr>
        <w:rPr>
          <w:sz w:val="26"/>
        </w:rPr>
      </w:pPr>
    </w:p>
    <w:p w14:paraId="78A66697" w14:textId="77777777" w:rsidR="000E01FF" w:rsidRDefault="000E01FF" w:rsidP="001209F1">
      <w:pPr>
        <w:rPr>
          <w:sz w:val="26"/>
        </w:rPr>
      </w:pPr>
    </w:p>
    <w:p w14:paraId="22BAA2B2" w14:textId="77777777" w:rsidR="000E01FF" w:rsidRPr="008A1A37" w:rsidRDefault="000E01FF" w:rsidP="001209F1">
      <w:pPr>
        <w:rPr>
          <w:sz w:val="24"/>
          <w:szCs w:val="24"/>
        </w:rPr>
      </w:pPr>
    </w:p>
    <w:p w14:paraId="6D00599B" w14:textId="77777777" w:rsidR="00881113" w:rsidRPr="008A1A37" w:rsidRDefault="00881113" w:rsidP="001209F1">
      <w:pPr>
        <w:rPr>
          <w:sz w:val="24"/>
          <w:szCs w:val="24"/>
        </w:rPr>
      </w:pPr>
    </w:p>
    <w:p w14:paraId="417A926F" w14:textId="77777777" w:rsidR="00E11BEB" w:rsidRDefault="000A18B4" w:rsidP="000A18B4">
      <w:pPr>
        <w:tabs>
          <w:tab w:val="left" w:pos="720"/>
        </w:tabs>
        <w:ind w:left="720" w:hanging="720"/>
        <w:rPr>
          <w:sz w:val="24"/>
          <w:szCs w:val="24"/>
        </w:rPr>
      </w:pPr>
      <w:r w:rsidRPr="008A1A37">
        <w:rPr>
          <w:sz w:val="24"/>
          <w:szCs w:val="24"/>
        </w:rPr>
        <w:t>To:</w:t>
      </w:r>
      <w:r w:rsidRPr="008A1A37">
        <w:rPr>
          <w:sz w:val="24"/>
          <w:szCs w:val="24"/>
        </w:rPr>
        <w:tab/>
      </w:r>
      <w:r w:rsidR="00881113" w:rsidRPr="008A1A37">
        <w:rPr>
          <w:sz w:val="24"/>
          <w:szCs w:val="24"/>
        </w:rPr>
        <w:t xml:space="preserve">All </w:t>
      </w:r>
      <w:r w:rsidR="00D00A99">
        <w:rPr>
          <w:sz w:val="24"/>
          <w:szCs w:val="24"/>
        </w:rPr>
        <w:t xml:space="preserve">Incumbent Local Exchange Carriers and Competitive Local Exchange </w:t>
      </w:r>
      <w:r w:rsidR="00E11BEB">
        <w:rPr>
          <w:sz w:val="24"/>
          <w:szCs w:val="24"/>
        </w:rPr>
        <w:t xml:space="preserve">Carriers </w:t>
      </w:r>
    </w:p>
    <w:p w14:paraId="1650815F" w14:textId="77777777" w:rsidR="00D00A99" w:rsidRDefault="00E11BEB" w:rsidP="000A18B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with Residential Accounts</w:t>
      </w:r>
      <w:r w:rsidR="00D00A99">
        <w:rPr>
          <w:sz w:val="24"/>
          <w:szCs w:val="24"/>
        </w:rPr>
        <w:t xml:space="preserve"> </w:t>
      </w:r>
      <w:r>
        <w:rPr>
          <w:sz w:val="24"/>
          <w:szCs w:val="24"/>
        </w:rPr>
        <w:t>in Pennsylvania</w:t>
      </w:r>
    </w:p>
    <w:p w14:paraId="297FD335" w14:textId="77777777" w:rsidR="000E01FF" w:rsidRPr="008A1A37" w:rsidRDefault="000E01FF" w:rsidP="000A18B4">
      <w:pPr>
        <w:tabs>
          <w:tab w:val="left" w:pos="720"/>
        </w:tabs>
        <w:rPr>
          <w:sz w:val="24"/>
          <w:szCs w:val="24"/>
        </w:rPr>
      </w:pPr>
    </w:p>
    <w:p w14:paraId="27D66CDA" w14:textId="77777777" w:rsidR="00E11BEB" w:rsidRPr="008A1A37" w:rsidRDefault="00881113" w:rsidP="00E11BEB">
      <w:pPr>
        <w:tabs>
          <w:tab w:val="left" w:pos="720"/>
        </w:tabs>
        <w:rPr>
          <w:sz w:val="24"/>
          <w:szCs w:val="24"/>
        </w:rPr>
      </w:pPr>
      <w:r w:rsidRPr="008A1A37">
        <w:rPr>
          <w:sz w:val="24"/>
          <w:szCs w:val="24"/>
        </w:rPr>
        <w:t>Re:</w:t>
      </w:r>
      <w:r w:rsidR="000A18B4" w:rsidRPr="008A1A37">
        <w:rPr>
          <w:sz w:val="24"/>
          <w:szCs w:val="24"/>
        </w:rPr>
        <w:tab/>
      </w:r>
      <w:r w:rsidR="00E11BEB">
        <w:rPr>
          <w:sz w:val="24"/>
          <w:szCs w:val="24"/>
        </w:rPr>
        <w:t xml:space="preserve">52 Pa. Code § 64.201 Annual LEC Report </w:t>
      </w:r>
    </w:p>
    <w:p w14:paraId="681A9D71" w14:textId="77777777" w:rsidR="00881113" w:rsidRPr="008A1A37" w:rsidRDefault="00881113" w:rsidP="000A18B4">
      <w:pPr>
        <w:tabs>
          <w:tab w:val="left" w:pos="720"/>
        </w:tabs>
        <w:rPr>
          <w:sz w:val="24"/>
          <w:szCs w:val="24"/>
        </w:rPr>
      </w:pPr>
    </w:p>
    <w:p w14:paraId="6016E55F" w14:textId="77777777" w:rsidR="00881113" w:rsidRPr="008A1A37" w:rsidRDefault="00881113" w:rsidP="00881113">
      <w:pPr>
        <w:rPr>
          <w:sz w:val="24"/>
          <w:szCs w:val="24"/>
        </w:rPr>
      </w:pPr>
      <w:r w:rsidRPr="008A1A37">
        <w:rPr>
          <w:sz w:val="24"/>
          <w:szCs w:val="24"/>
        </w:rPr>
        <w:t xml:space="preserve">     </w:t>
      </w:r>
    </w:p>
    <w:p w14:paraId="696A47DF" w14:textId="77777777" w:rsidR="000E01FF" w:rsidRDefault="000E01FF" w:rsidP="00881113">
      <w:pPr>
        <w:rPr>
          <w:sz w:val="24"/>
          <w:szCs w:val="24"/>
        </w:rPr>
      </w:pPr>
    </w:p>
    <w:p w14:paraId="2D543877" w14:textId="77777777" w:rsidR="00724619" w:rsidRPr="008A1A37" w:rsidRDefault="00724619" w:rsidP="00881113">
      <w:pPr>
        <w:rPr>
          <w:sz w:val="24"/>
          <w:szCs w:val="24"/>
        </w:rPr>
      </w:pPr>
    </w:p>
    <w:p w14:paraId="1306E9C7" w14:textId="356F1C2C" w:rsidR="005055CD" w:rsidRDefault="00672F29" w:rsidP="00AA7CE9">
      <w:pPr>
        <w:rPr>
          <w:sz w:val="24"/>
          <w:szCs w:val="24"/>
        </w:rPr>
      </w:pPr>
      <w:r w:rsidRPr="008A1A37">
        <w:rPr>
          <w:sz w:val="24"/>
          <w:szCs w:val="24"/>
        </w:rPr>
        <w:t xml:space="preserve">In accordance with the </w:t>
      </w:r>
      <w:r w:rsidR="00E11BEB">
        <w:rPr>
          <w:sz w:val="24"/>
          <w:szCs w:val="24"/>
        </w:rPr>
        <w:t xml:space="preserve">52 Pa. Code § 64.201, each local exchange carrier with residential accounts in Pennsylvania shall file with the Pennsylvania Public Utility Commission an annual report containing residential account information.   </w:t>
      </w:r>
      <w:r w:rsidR="005055CD">
        <w:rPr>
          <w:sz w:val="24"/>
          <w:szCs w:val="24"/>
        </w:rPr>
        <w:t xml:space="preserve">Section 64.201(b) identifies the data elements to report and is linked here - </w:t>
      </w:r>
      <w:hyperlink r:id="rId10" w:history="1">
        <w:r w:rsidR="005055CD">
          <w:rPr>
            <w:rStyle w:val="Hyperlink"/>
            <w:sz w:val="24"/>
            <w:szCs w:val="24"/>
          </w:rPr>
          <w:t>52 Pa. Code § 64.201</w:t>
        </w:r>
      </w:hyperlink>
      <w:r w:rsidR="005055CD">
        <w:rPr>
          <w:sz w:val="24"/>
          <w:szCs w:val="24"/>
        </w:rPr>
        <w:t xml:space="preserve">.   The attached </w:t>
      </w:r>
      <w:r w:rsidR="00F22E7A">
        <w:rPr>
          <w:sz w:val="24"/>
          <w:szCs w:val="24"/>
        </w:rPr>
        <w:t xml:space="preserve">format can be used as a worksheet.  </w:t>
      </w:r>
    </w:p>
    <w:p w14:paraId="0B4321C8" w14:textId="77777777" w:rsidR="005055CD" w:rsidRDefault="005055CD" w:rsidP="00AA7CE9">
      <w:pPr>
        <w:rPr>
          <w:sz w:val="24"/>
          <w:szCs w:val="24"/>
        </w:rPr>
      </w:pPr>
    </w:p>
    <w:p w14:paraId="2973A8C2" w14:textId="77777777" w:rsidR="005055CD" w:rsidRDefault="005055CD" w:rsidP="005055CD">
      <w:pPr>
        <w:rPr>
          <w:sz w:val="24"/>
          <w:szCs w:val="24"/>
        </w:rPr>
      </w:pPr>
      <w:r>
        <w:rPr>
          <w:sz w:val="24"/>
          <w:szCs w:val="24"/>
        </w:rPr>
        <w:t>You s</w:t>
      </w:r>
      <w:r w:rsidRPr="008A1A37">
        <w:rPr>
          <w:sz w:val="24"/>
          <w:szCs w:val="24"/>
        </w:rPr>
        <w:t xml:space="preserve">hould </w:t>
      </w:r>
      <w:r>
        <w:rPr>
          <w:sz w:val="24"/>
          <w:szCs w:val="24"/>
        </w:rPr>
        <w:t xml:space="preserve">file the Annual LEC Report </w:t>
      </w:r>
      <w:r w:rsidRPr="008A1A37">
        <w:rPr>
          <w:sz w:val="24"/>
          <w:szCs w:val="24"/>
        </w:rPr>
        <w:t xml:space="preserve">electronically at </w:t>
      </w:r>
      <w:hyperlink r:id="rId11" w:history="1">
        <w:r w:rsidRPr="00D227D2">
          <w:rPr>
            <w:rStyle w:val="Hyperlink"/>
            <w:sz w:val="24"/>
            <w:szCs w:val="24"/>
          </w:rPr>
          <w:t>http://pucksi.state.pa.us:40700/</w:t>
        </w:r>
      </w:hyperlink>
      <w:r>
        <w:rPr>
          <w:sz w:val="24"/>
          <w:szCs w:val="24"/>
        </w:rPr>
        <w:t xml:space="preserve">.  </w:t>
      </w:r>
    </w:p>
    <w:p w14:paraId="551DEFAB" w14:textId="77777777" w:rsidR="005055CD" w:rsidRDefault="005055CD" w:rsidP="005055CD">
      <w:pPr>
        <w:rPr>
          <w:sz w:val="24"/>
          <w:szCs w:val="24"/>
        </w:rPr>
      </w:pPr>
      <w:r w:rsidRPr="005055CD">
        <w:rPr>
          <w:sz w:val="24"/>
          <w:szCs w:val="24"/>
        </w:rPr>
        <w:t xml:space="preserve">This report is </w:t>
      </w:r>
      <w:r w:rsidRPr="005055CD">
        <w:rPr>
          <w:b/>
          <w:sz w:val="24"/>
          <w:szCs w:val="24"/>
        </w:rPr>
        <w:t xml:space="preserve">due within ninety </w:t>
      </w:r>
      <w:r w:rsidRPr="00D265AA">
        <w:rPr>
          <w:b/>
          <w:sz w:val="24"/>
          <w:szCs w:val="24"/>
        </w:rPr>
        <w:t xml:space="preserve">days </w:t>
      </w:r>
      <w:r w:rsidRPr="00D265AA">
        <w:rPr>
          <w:sz w:val="24"/>
          <w:szCs w:val="24"/>
        </w:rPr>
        <w:t>of the</w:t>
      </w:r>
      <w:r w:rsidRPr="005055CD">
        <w:rPr>
          <w:sz w:val="24"/>
          <w:szCs w:val="24"/>
        </w:rPr>
        <w:t xml:space="preserve"> close of the calendar year being reported</w:t>
      </w:r>
      <w:r>
        <w:rPr>
          <w:b/>
          <w:sz w:val="24"/>
          <w:szCs w:val="24"/>
        </w:rPr>
        <w:t xml:space="preserve">.   </w:t>
      </w:r>
      <w:r w:rsidRPr="00CE6D1D">
        <w:rPr>
          <w:sz w:val="24"/>
          <w:szCs w:val="24"/>
        </w:rPr>
        <w:t xml:space="preserve">You will be unable to access the database after </w:t>
      </w:r>
      <w:r>
        <w:rPr>
          <w:sz w:val="24"/>
          <w:szCs w:val="24"/>
        </w:rPr>
        <w:t xml:space="preserve">that time. </w:t>
      </w:r>
      <w:r w:rsidRPr="00CE6D1D">
        <w:rPr>
          <w:sz w:val="24"/>
          <w:szCs w:val="24"/>
        </w:rPr>
        <w:t xml:space="preserve">   </w:t>
      </w:r>
    </w:p>
    <w:p w14:paraId="7880611D" w14:textId="77777777" w:rsidR="00E11BEB" w:rsidRDefault="00E11BEB" w:rsidP="00AA7CE9">
      <w:pPr>
        <w:rPr>
          <w:sz w:val="24"/>
          <w:szCs w:val="24"/>
        </w:rPr>
      </w:pPr>
    </w:p>
    <w:p w14:paraId="701A883F" w14:textId="77777777" w:rsidR="008A1A37" w:rsidRDefault="00F22E7A" w:rsidP="00CE6D1D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Local Exchange </w:t>
      </w:r>
      <w:r w:rsidR="008A1A37">
        <w:rPr>
          <w:sz w:val="24"/>
          <w:szCs w:val="24"/>
        </w:rPr>
        <w:t>Carriers</w:t>
      </w:r>
      <w:r>
        <w:rPr>
          <w:sz w:val="24"/>
          <w:szCs w:val="24"/>
        </w:rPr>
        <w:t xml:space="preserve"> </w:t>
      </w:r>
      <w:r w:rsidR="008A1A37">
        <w:rPr>
          <w:sz w:val="24"/>
          <w:szCs w:val="24"/>
        </w:rPr>
        <w:t>who d</w:t>
      </w:r>
      <w:r>
        <w:rPr>
          <w:sz w:val="24"/>
          <w:szCs w:val="24"/>
        </w:rPr>
        <w:t xml:space="preserve">id not service residential accounts during the report year should submit a “No Residential Service” </w:t>
      </w:r>
      <w:r w:rsidR="009A57B8">
        <w:rPr>
          <w:sz w:val="24"/>
          <w:szCs w:val="24"/>
        </w:rPr>
        <w:t xml:space="preserve">letter by the due date.   </w:t>
      </w:r>
    </w:p>
    <w:p w14:paraId="44E9DCB0" w14:textId="77777777" w:rsidR="00CE6D1D" w:rsidRDefault="00CE6D1D" w:rsidP="008A1A37">
      <w:pPr>
        <w:rPr>
          <w:sz w:val="24"/>
          <w:szCs w:val="24"/>
        </w:rPr>
      </w:pPr>
    </w:p>
    <w:p w14:paraId="6C97A733" w14:textId="094596CE" w:rsidR="008658B9" w:rsidRDefault="00CE6D1D" w:rsidP="00CE6D1D">
      <w:pPr>
        <w:ind w:right="-180"/>
        <w:rPr>
          <w:sz w:val="24"/>
          <w:szCs w:val="24"/>
        </w:rPr>
      </w:pPr>
      <w:r w:rsidRPr="00CE6D1D">
        <w:rPr>
          <w:sz w:val="24"/>
          <w:szCs w:val="24"/>
        </w:rPr>
        <w:t>If you need a user ID and</w:t>
      </w:r>
      <w:r w:rsidRPr="008A1A37">
        <w:rPr>
          <w:sz w:val="24"/>
          <w:szCs w:val="24"/>
        </w:rPr>
        <w:t xml:space="preserve"> password</w:t>
      </w:r>
      <w:r w:rsidR="00724619">
        <w:rPr>
          <w:sz w:val="24"/>
          <w:szCs w:val="24"/>
        </w:rPr>
        <w:t xml:space="preserve"> to access the electronic database</w:t>
      </w:r>
      <w:r>
        <w:rPr>
          <w:sz w:val="24"/>
          <w:szCs w:val="24"/>
        </w:rPr>
        <w:t>, or have difficulty using the web</w:t>
      </w:r>
      <w:r w:rsidR="00F22E7A">
        <w:rPr>
          <w:sz w:val="24"/>
          <w:szCs w:val="24"/>
        </w:rPr>
        <w:t xml:space="preserve"> portal, </w:t>
      </w:r>
      <w:r>
        <w:rPr>
          <w:sz w:val="24"/>
          <w:szCs w:val="24"/>
        </w:rPr>
        <w:t xml:space="preserve">please contact </w:t>
      </w:r>
      <w:r w:rsidR="008658B9">
        <w:rPr>
          <w:sz w:val="24"/>
          <w:szCs w:val="24"/>
        </w:rPr>
        <w:t xml:space="preserve">the Bureau of Consumer Services at </w:t>
      </w:r>
      <w:hyperlink r:id="rId12" w:history="1">
        <w:r w:rsidR="008658B9" w:rsidRPr="00F650E4">
          <w:rPr>
            <w:rStyle w:val="Hyperlink"/>
            <w:sz w:val="24"/>
            <w:szCs w:val="24"/>
          </w:rPr>
          <w:t>PAPUC-Telco@pa.gov</w:t>
        </w:r>
      </w:hyperlink>
    </w:p>
    <w:p w14:paraId="2F15B58E" w14:textId="77777777" w:rsidR="00F22E7A" w:rsidRDefault="00F22E7A" w:rsidP="00CE6D1D">
      <w:pPr>
        <w:ind w:right="-180"/>
        <w:rPr>
          <w:sz w:val="24"/>
          <w:szCs w:val="24"/>
        </w:rPr>
      </w:pPr>
    </w:p>
    <w:p w14:paraId="6EE2E4AC" w14:textId="77777777" w:rsidR="00CE6D1D" w:rsidRDefault="00F22E7A" w:rsidP="00CE6D1D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Thank you. </w:t>
      </w:r>
      <w:r w:rsidR="00724619">
        <w:rPr>
          <w:sz w:val="24"/>
          <w:szCs w:val="24"/>
        </w:rPr>
        <w:t xml:space="preserve">  </w:t>
      </w:r>
    </w:p>
    <w:p w14:paraId="116B7D65" w14:textId="77777777" w:rsidR="00724619" w:rsidRDefault="00724619" w:rsidP="00724619">
      <w:pPr>
        <w:rPr>
          <w:sz w:val="24"/>
          <w:szCs w:val="24"/>
        </w:rPr>
      </w:pPr>
    </w:p>
    <w:p w14:paraId="63B6362D" w14:textId="77777777" w:rsidR="00724619" w:rsidRDefault="00724619" w:rsidP="00724619">
      <w:pPr>
        <w:rPr>
          <w:sz w:val="24"/>
          <w:szCs w:val="24"/>
        </w:rPr>
      </w:pPr>
      <w:r>
        <w:rPr>
          <w:sz w:val="24"/>
          <w:szCs w:val="24"/>
        </w:rPr>
        <w:t>Attachment</w:t>
      </w:r>
    </w:p>
    <w:p w14:paraId="604935CF" w14:textId="77777777" w:rsidR="00724619" w:rsidRPr="008A1A37" w:rsidRDefault="00724619" w:rsidP="00724619">
      <w:pPr>
        <w:rPr>
          <w:sz w:val="24"/>
          <w:szCs w:val="24"/>
        </w:rPr>
      </w:pPr>
    </w:p>
    <w:p w14:paraId="73A241C1" w14:textId="77777777" w:rsidR="00881113" w:rsidRPr="008A1A37" w:rsidRDefault="00881113" w:rsidP="00881113">
      <w:pPr>
        <w:ind w:firstLine="720"/>
        <w:rPr>
          <w:sz w:val="24"/>
          <w:szCs w:val="24"/>
        </w:rPr>
      </w:pPr>
    </w:p>
    <w:p w14:paraId="32C1771C" w14:textId="77777777" w:rsidR="00724619" w:rsidRDefault="00881113" w:rsidP="00724619">
      <w:pPr>
        <w:rPr>
          <w:sz w:val="24"/>
          <w:szCs w:val="24"/>
        </w:rPr>
      </w:pPr>
      <w:r w:rsidRPr="008A1A37">
        <w:rPr>
          <w:sz w:val="24"/>
          <w:szCs w:val="24"/>
        </w:rPr>
        <w:tab/>
      </w:r>
      <w:r w:rsidRPr="008A1A37">
        <w:rPr>
          <w:sz w:val="24"/>
          <w:szCs w:val="24"/>
        </w:rPr>
        <w:tab/>
      </w:r>
    </w:p>
    <w:p w14:paraId="43033986" w14:textId="77777777" w:rsidR="00724619" w:rsidRDefault="00724619" w:rsidP="00724619">
      <w:pPr>
        <w:rPr>
          <w:sz w:val="24"/>
          <w:szCs w:val="24"/>
        </w:rPr>
      </w:pPr>
    </w:p>
    <w:p w14:paraId="6DC2A70A" w14:textId="77777777" w:rsidR="00F22E7A" w:rsidRDefault="00F22E7A" w:rsidP="00724619">
      <w:pPr>
        <w:rPr>
          <w:sz w:val="24"/>
          <w:szCs w:val="24"/>
        </w:rPr>
      </w:pPr>
    </w:p>
    <w:p w14:paraId="5F8F10E9" w14:textId="77777777" w:rsidR="00F22E7A" w:rsidRDefault="00F22E7A" w:rsidP="00724619">
      <w:pPr>
        <w:rPr>
          <w:sz w:val="24"/>
          <w:szCs w:val="24"/>
        </w:rPr>
      </w:pPr>
    </w:p>
    <w:p w14:paraId="0E88923D" w14:textId="77777777" w:rsidR="00F22E7A" w:rsidRDefault="00F22E7A" w:rsidP="00724619">
      <w:pPr>
        <w:rPr>
          <w:sz w:val="24"/>
          <w:szCs w:val="24"/>
        </w:rPr>
      </w:pPr>
    </w:p>
    <w:p w14:paraId="285EEE9A" w14:textId="77777777" w:rsidR="00F22E7A" w:rsidRDefault="00F22E7A" w:rsidP="00724619">
      <w:pPr>
        <w:rPr>
          <w:sz w:val="24"/>
          <w:szCs w:val="24"/>
        </w:rPr>
      </w:pPr>
    </w:p>
    <w:p w14:paraId="5CF44583" w14:textId="77777777" w:rsidR="00F22E7A" w:rsidRDefault="00F22E7A" w:rsidP="00724619">
      <w:pPr>
        <w:rPr>
          <w:sz w:val="24"/>
          <w:szCs w:val="24"/>
        </w:rPr>
      </w:pPr>
    </w:p>
    <w:p w14:paraId="221B9BF1" w14:textId="77777777" w:rsidR="00F22E7A" w:rsidRDefault="00F22E7A" w:rsidP="00724619">
      <w:pPr>
        <w:rPr>
          <w:sz w:val="24"/>
          <w:szCs w:val="24"/>
        </w:rPr>
      </w:pPr>
    </w:p>
    <w:p w14:paraId="183A2EDD" w14:textId="77777777" w:rsidR="00F22E7A" w:rsidRDefault="00F22E7A" w:rsidP="00724619">
      <w:pPr>
        <w:rPr>
          <w:sz w:val="24"/>
          <w:szCs w:val="24"/>
        </w:rPr>
      </w:pPr>
    </w:p>
    <w:p w14:paraId="0B24A49D" w14:textId="77777777" w:rsidR="00F22E7A" w:rsidRDefault="00F22E7A" w:rsidP="00724619">
      <w:pPr>
        <w:rPr>
          <w:sz w:val="24"/>
          <w:szCs w:val="24"/>
        </w:rPr>
      </w:pPr>
    </w:p>
    <w:p w14:paraId="17CBC3B9" w14:textId="029899A2" w:rsidR="00F22E7A" w:rsidRDefault="00F22E7A" w:rsidP="009870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52 Pa. Code § 64.201 - </w:t>
      </w:r>
      <w:r w:rsidRPr="00823530">
        <w:rPr>
          <w:b/>
          <w:sz w:val="24"/>
          <w:szCs w:val="24"/>
        </w:rPr>
        <w:t>Annual LEC Report</w:t>
      </w:r>
    </w:p>
    <w:p w14:paraId="1771D87A" w14:textId="77777777" w:rsidR="00F22E7A" w:rsidRPr="00823530" w:rsidRDefault="00F22E7A" w:rsidP="00F22E7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587"/>
      </w:tblGrid>
      <w:tr w:rsidR="00F22E7A" w:rsidRPr="00EF6540" w14:paraId="3CB21D98" w14:textId="77777777" w:rsidTr="0098705B">
        <w:tc>
          <w:tcPr>
            <w:tcW w:w="468" w:type="dxa"/>
            <w:vAlign w:val="center"/>
          </w:tcPr>
          <w:p w14:paraId="058A7F0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D385762" w14:textId="77777777" w:rsidR="00F22E7A" w:rsidRDefault="00F22E7A" w:rsidP="00F22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Name:</w:t>
            </w:r>
          </w:p>
          <w:p w14:paraId="657D1FA5" w14:textId="77777777" w:rsidR="00F22E7A" w:rsidRPr="00EF6540" w:rsidRDefault="00F22E7A" w:rsidP="00F22E7A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14:paraId="0C33DD01" w14:textId="77777777" w:rsidR="00F22E7A" w:rsidRPr="00EF6540" w:rsidRDefault="00F22E7A" w:rsidP="00F22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_____</w:t>
            </w:r>
          </w:p>
        </w:tc>
      </w:tr>
      <w:tr w:rsidR="00F22E7A" w:rsidRPr="00EF6540" w14:paraId="782C5D64" w14:textId="77777777" w:rsidTr="0098705B">
        <w:tc>
          <w:tcPr>
            <w:tcW w:w="468" w:type="dxa"/>
            <w:vAlign w:val="center"/>
          </w:tcPr>
          <w:p w14:paraId="18262CD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14:paraId="0B92AE57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number of residential accounts per month:</w:t>
            </w:r>
          </w:p>
        </w:tc>
        <w:tc>
          <w:tcPr>
            <w:tcW w:w="2587" w:type="dxa"/>
            <w:vAlign w:val="center"/>
          </w:tcPr>
          <w:p w14:paraId="1536F39C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3D03FCA" w14:textId="77777777" w:rsidTr="0098705B">
        <w:tc>
          <w:tcPr>
            <w:tcW w:w="468" w:type="dxa"/>
            <w:vAlign w:val="center"/>
          </w:tcPr>
          <w:p w14:paraId="5907CE98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14:paraId="1B8D946F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residential customer bill per month for each of the following:</w:t>
            </w:r>
          </w:p>
        </w:tc>
        <w:tc>
          <w:tcPr>
            <w:tcW w:w="2587" w:type="dxa"/>
            <w:vAlign w:val="center"/>
          </w:tcPr>
          <w:p w14:paraId="2184196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13F11543" w14:textId="77777777" w:rsidTr="0098705B">
        <w:tc>
          <w:tcPr>
            <w:tcW w:w="468" w:type="dxa"/>
            <w:vAlign w:val="center"/>
          </w:tcPr>
          <w:p w14:paraId="472C1661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1635398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Basic service:</w:t>
            </w:r>
          </w:p>
        </w:tc>
        <w:tc>
          <w:tcPr>
            <w:tcW w:w="2587" w:type="dxa"/>
            <w:vAlign w:val="center"/>
          </w:tcPr>
          <w:p w14:paraId="5A8AA537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5AD0966B" w14:textId="77777777" w:rsidTr="0098705B">
        <w:tc>
          <w:tcPr>
            <w:tcW w:w="468" w:type="dxa"/>
            <w:vAlign w:val="center"/>
          </w:tcPr>
          <w:p w14:paraId="22C967F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3A5F9D2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EF6540">
              <w:rPr>
                <w:sz w:val="24"/>
                <w:szCs w:val="24"/>
              </w:rPr>
              <w:t>Nonbasic</w:t>
            </w:r>
            <w:proofErr w:type="spellEnd"/>
            <w:r w:rsidRPr="00EF6540">
              <w:rPr>
                <w:sz w:val="24"/>
                <w:szCs w:val="24"/>
              </w:rPr>
              <w:t xml:space="preserve"> service:</w:t>
            </w:r>
          </w:p>
        </w:tc>
        <w:tc>
          <w:tcPr>
            <w:tcW w:w="2587" w:type="dxa"/>
            <w:vAlign w:val="center"/>
          </w:tcPr>
          <w:p w14:paraId="316DC2A2" w14:textId="77777777" w:rsidR="00F22E7A" w:rsidRPr="00EF6540" w:rsidRDefault="00F22E7A" w:rsidP="00F22E7A">
            <w:pPr>
              <w:jc w:val="center"/>
              <w:rPr>
                <w:sz w:val="24"/>
                <w:szCs w:val="24"/>
              </w:rPr>
            </w:pPr>
          </w:p>
        </w:tc>
      </w:tr>
      <w:tr w:rsidR="00F22E7A" w:rsidRPr="00EF6540" w14:paraId="7FAFDC3E" w14:textId="77777777" w:rsidTr="0098705B">
        <w:tc>
          <w:tcPr>
            <w:tcW w:w="468" w:type="dxa"/>
            <w:vAlign w:val="center"/>
          </w:tcPr>
          <w:p w14:paraId="0F277159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7341B13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Toll service:</w:t>
            </w:r>
          </w:p>
        </w:tc>
        <w:tc>
          <w:tcPr>
            <w:tcW w:w="2587" w:type="dxa"/>
            <w:vAlign w:val="center"/>
          </w:tcPr>
          <w:p w14:paraId="24FFAD80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3AC8E691" w14:textId="77777777" w:rsidTr="0098705B">
        <w:tc>
          <w:tcPr>
            <w:tcW w:w="468" w:type="dxa"/>
            <w:vAlign w:val="center"/>
          </w:tcPr>
          <w:p w14:paraId="18A12113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87E94C4" w14:textId="77777777" w:rsidR="00F22E7A" w:rsidRPr="00EF6540" w:rsidRDefault="00F22E7A" w:rsidP="00F22E7A">
            <w:pPr>
              <w:rPr>
                <w:b/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 xml:space="preserve">                                    </w:t>
            </w:r>
            <w:r w:rsidRPr="00EF6540">
              <w:rPr>
                <w:b/>
                <w:sz w:val="24"/>
                <w:szCs w:val="24"/>
              </w:rPr>
              <w:t>Total amount due:</w:t>
            </w:r>
          </w:p>
        </w:tc>
        <w:tc>
          <w:tcPr>
            <w:tcW w:w="2587" w:type="dxa"/>
            <w:vAlign w:val="center"/>
          </w:tcPr>
          <w:p w14:paraId="2B1E0C41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0CC608F0" w14:textId="77777777" w:rsidTr="0098705B">
        <w:tc>
          <w:tcPr>
            <w:tcW w:w="468" w:type="dxa"/>
            <w:vAlign w:val="center"/>
          </w:tcPr>
          <w:p w14:paraId="4842110E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14:paraId="299531C2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number of overdue residential accounts per month:</w:t>
            </w:r>
          </w:p>
        </w:tc>
        <w:tc>
          <w:tcPr>
            <w:tcW w:w="2587" w:type="dxa"/>
            <w:vAlign w:val="center"/>
          </w:tcPr>
          <w:p w14:paraId="5BA2B9F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44BF5B27" w14:textId="77777777" w:rsidTr="0098705B">
        <w:tc>
          <w:tcPr>
            <w:tcW w:w="468" w:type="dxa"/>
            <w:vAlign w:val="center"/>
          </w:tcPr>
          <w:p w14:paraId="2451937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14:paraId="6893F401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overdue residential customer bill per month for:</w:t>
            </w:r>
          </w:p>
        </w:tc>
        <w:tc>
          <w:tcPr>
            <w:tcW w:w="2587" w:type="dxa"/>
            <w:vAlign w:val="center"/>
          </w:tcPr>
          <w:p w14:paraId="0F04C327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4992F960" w14:textId="77777777" w:rsidTr="0098705B">
        <w:tc>
          <w:tcPr>
            <w:tcW w:w="468" w:type="dxa"/>
            <w:vAlign w:val="center"/>
          </w:tcPr>
          <w:p w14:paraId="7C18B28B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A86745B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Basic service:</w:t>
            </w:r>
          </w:p>
        </w:tc>
        <w:tc>
          <w:tcPr>
            <w:tcW w:w="2587" w:type="dxa"/>
            <w:vAlign w:val="center"/>
          </w:tcPr>
          <w:p w14:paraId="732ABC9E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301C8552" w14:textId="77777777" w:rsidTr="0098705B">
        <w:tc>
          <w:tcPr>
            <w:tcW w:w="468" w:type="dxa"/>
            <w:vAlign w:val="center"/>
          </w:tcPr>
          <w:p w14:paraId="2675BB02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D93FB1F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EF6540">
              <w:rPr>
                <w:sz w:val="24"/>
                <w:szCs w:val="24"/>
              </w:rPr>
              <w:t>Nonbasic</w:t>
            </w:r>
            <w:proofErr w:type="spellEnd"/>
            <w:r w:rsidRPr="00EF6540">
              <w:rPr>
                <w:sz w:val="24"/>
                <w:szCs w:val="24"/>
              </w:rPr>
              <w:t xml:space="preserve"> service:</w:t>
            </w:r>
          </w:p>
        </w:tc>
        <w:tc>
          <w:tcPr>
            <w:tcW w:w="2587" w:type="dxa"/>
            <w:vAlign w:val="center"/>
          </w:tcPr>
          <w:p w14:paraId="01157B01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78BE0B29" w14:textId="77777777" w:rsidTr="0098705B">
        <w:tc>
          <w:tcPr>
            <w:tcW w:w="468" w:type="dxa"/>
            <w:vAlign w:val="center"/>
          </w:tcPr>
          <w:p w14:paraId="513357DB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9BE5353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Toll service:</w:t>
            </w:r>
          </w:p>
        </w:tc>
        <w:tc>
          <w:tcPr>
            <w:tcW w:w="2587" w:type="dxa"/>
            <w:vAlign w:val="center"/>
          </w:tcPr>
          <w:p w14:paraId="558F6261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B6DF52D" w14:textId="77777777" w:rsidTr="0098705B">
        <w:tc>
          <w:tcPr>
            <w:tcW w:w="468" w:type="dxa"/>
            <w:vAlign w:val="center"/>
          </w:tcPr>
          <w:p w14:paraId="2DBF21A0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879C92D" w14:textId="77777777" w:rsidR="00F22E7A" w:rsidRPr="00EF6540" w:rsidRDefault="00F22E7A" w:rsidP="00F22E7A">
            <w:pPr>
              <w:rPr>
                <w:b/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 xml:space="preserve">                                    </w:t>
            </w:r>
            <w:r w:rsidRPr="00EF6540">
              <w:rPr>
                <w:b/>
                <w:sz w:val="24"/>
                <w:szCs w:val="24"/>
              </w:rPr>
              <w:t>Total amount overdue:</w:t>
            </w:r>
          </w:p>
        </w:tc>
        <w:tc>
          <w:tcPr>
            <w:tcW w:w="2587" w:type="dxa"/>
            <w:vAlign w:val="center"/>
          </w:tcPr>
          <w:p w14:paraId="132772DB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D68F02C" w14:textId="77777777" w:rsidTr="0098705B">
        <w:tc>
          <w:tcPr>
            <w:tcW w:w="468" w:type="dxa"/>
            <w:vAlign w:val="center"/>
          </w:tcPr>
          <w:p w14:paraId="7463B35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14:paraId="2FE3CAFA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number of residential basic service suspension notices per month:</w:t>
            </w:r>
          </w:p>
        </w:tc>
        <w:tc>
          <w:tcPr>
            <w:tcW w:w="2587" w:type="dxa"/>
            <w:vAlign w:val="center"/>
          </w:tcPr>
          <w:p w14:paraId="50EE9F7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756FD92C" w14:textId="77777777" w:rsidTr="0098705B">
        <w:tc>
          <w:tcPr>
            <w:tcW w:w="468" w:type="dxa"/>
            <w:vAlign w:val="center"/>
          </w:tcPr>
          <w:p w14:paraId="6DD2B48E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14:paraId="47658D11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number of residential basic service suspensions per month:</w:t>
            </w:r>
          </w:p>
        </w:tc>
        <w:tc>
          <w:tcPr>
            <w:tcW w:w="2587" w:type="dxa"/>
            <w:vAlign w:val="center"/>
          </w:tcPr>
          <w:p w14:paraId="1DE1AB28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0FB7DC72" w14:textId="77777777" w:rsidTr="0098705B">
        <w:tc>
          <w:tcPr>
            <w:tcW w:w="468" w:type="dxa"/>
            <w:vAlign w:val="center"/>
          </w:tcPr>
          <w:p w14:paraId="5EEB5D4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7</w:t>
            </w:r>
          </w:p>
        </w:tc>
        <w:tc>
          <w:tcPr>
            <w:tcW w:w="6480" w:type="dxa"/>
          </w:tcPr>
          <w:p w14:paraId="0667379B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average number of residential basic service terminations per month:</w:t>
            </w:r>
          </w:p>
        </w:tc>
        <w:tc>
          <w:tcPr>
            <w:tcW w:w="2587" w:type="dxa"/>
            <w:vAlign w:val="center"/>
          </w:tcPr>
          <w:p w14:paraId="40CCE69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40B7ECC" w14:textId="77777777" w:rsidTr="0098705B">
        <w:tc>
          <w:tcPr>
            <w:tcW w:w="468" w:type="dxa"/>
            <w:vAlign w:val="center"/>
          </w:tcPr>
          <w:p w14:paraId="1B90B8D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8</w:t>
            </w:r>
          </w:p>
        </w:tc>
        <w:tc>
          <w:tcPr>
            <w:tcW w:w="6480" w:type="dxa"/>
          </w:tcPr>
          <w:p w14:paraId="1A10B9A6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Local exchange carrier gross revenue from all residential accounts separated as follows:</w:t>
            </w:r>
          </w:p>
        </w:tc>
        <w:tc>
          <w:tcPr>
            <w:tcW w:w="2587" w:type="dxa"/>
            <w:vAlign w:val="center"/>
          </w:tcPr>
          <w:p w14:paraId="0EAED419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44E02D2F" w14:textId="77777777" w:rsidTr="0098705B">
        <w:tc>
          <w:tcPr>
            <w:tcW w:w="468" w:type="dxa"/>
            <w:vAlign w:val="center"/>
          </w:tcPr>
          <w:p w14:paraId="280C4F66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B4EB61F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Basic service:</w:t>
            </w:r>
          </w:p>
        </w:tc>
        <w:tc>
          <w:tcPr>
            <w:tcW w:w="2587" w:type="dxa"/>
            <w:vAlign w:val="center"/>
          </w:tcPr>
          <w:p w14:paraId="15ADBAB3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132C68DC" w14:textId="77777777" w:rsidTr="0098705B">
        <w:tc>
          <w:tcPr>
            <w:tcW w:w="468" w:type="dxa"/>
            <w:vAlign w:val="center"/>
          </w:tcPr>
          <w:p w14:paraId="67323AD7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D0830FC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EF6540">
              <w:rPr>
                <w:sz w:val="24"/>
                <w:szCs w:val="24"/>
              </w:rPr>
              <w:t>Nonbasic</w:t>
            </w:r>
            <w:proofErr w:type="spellEnd"/>
            <w:r w:rsidRPr="00EF6540">
              <w:rPr>
                <w:sz w:val="24"/>
                <w:szCs w:val="24"/>
              </w:rPr>
              <w:t xml:space="preserve"> service:</w:t>
            </w:r>
          </w:p>
        </w:tc>
        <w:tc>
          <w:tcPr>
            <w:tcW w:w="2587" w:type="dxa"/>
            <w:vAlign w:val="center"/>
          </w:tcPr>
          <w:p w14:paraId="0E4BF616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3BA7C5C1" w14:textId="77777777" w:rsidTr="0098705B">
        <w:tc>
          <w:tcPr>
            <w:tcW w:w="468" w:type="dxa"/>
            <w:vAlign w:val="center"/>
          </w:tcPr>
          <w:p w14:paraId="29BF829C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33026779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Toll service:</w:t>
            </w:r>
          </w:p>
        </w:tc>
        <w:tc>
          <w:tcPr>
            <w:tcW w:w="2587" w:type="dxa"/>
            <w:vAlign w:val="center"/>
          </w:tcPr>
          <w:p w14:paraId="7E486DC3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CFB8E5D" w14:textId="77777777" w:rsidTr="0098705B">
        <w:tc>
          <w:tcPr>
            <w:tcW w:w="468" w:type="dxa"/>
            <w:vAlign w:val="center"/>
          </w:tcPr>
          <w:p w14:paraId="2E5A56F4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AC6A050" w14:textId="77777777" w:rsidR="00F22E7A" w:rsidRPr="00EF6540" w:rsidRDefault="00F22E7A" w:rsidP="00F22E7A">
            <w:pPr>
              <w:rPr>
                <w:b/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 xml:space="preserve">                                    </w:t>
            </w:r>
            <w:r w:rsidRPr="00EF6540">
              <w:rPr>
                <w:b/>
                <w:sz w:val="24"/>
                <w:szCs w:val="24"/>
              </w:rPr>
              <w:t>Total revenue:</w:t>
            </w:r>
          </w:p>
        </w:tc>
        <w:tc>
          <w:tcPr>
            <w:tcW w:w="2587" w:type="dxa"/>
            <w:vAlign w:val="center"/>
          </w:tcPr>
          <w:p w14:paraId="1100F67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04750551" w14:textId="77777777" w:rsidTr="0098705B">
        <w:tc>
          <w:tcPr>
            <w:tcW w:w="468" w:type="dxa"/>
            <w:vAlign w:val="center"/>
          </w:tcPr>
          <w:p w14:paraId="099177E8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9</w:t>
            </w:r>
          </w:p>
        </w:tc>
        <w:tc>
          <w:tcPr>
            <w:tcW w:w="6480" w:type="dxa"/>
          </w:tcPr>
          <w:p w14:paraId="2CB1A4F9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Local exchange carrier gross write-offs of uncollectible residential accounts separated as follows:</w:t>
            </w:r>
          </w:p>
        </w:tc>
        <w:tc>
          <w:tcPr>
            <w:tcW w:w="2587" w:type="dxa"/>
            <w:vAlign w:val="center"/>
          </w:tcPr>
          <w:p w14:paraId="3612A5F2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A4B00C5" w14:textId="77777777" w:rsidTr="0098705B">
        <w:tc>
          <w:tcPr>
            <w:tcW w:w="468" w:type="dxa"/>
            <w:vAlign w:val="center"/>
          </w:tcPr>
          <w:p w14:paraId="1859A41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1F88130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Basic service:</w:t>
            </w:r>
          </w:p>
        </w:tc>
        <w:tc>
          <w:tcPr>
            <w:tcW w:w="2587" w:type="dxa"/>
            <w:vAlign w:val="center"/>
          </w:tcPr>
          <w:p w14:paraId="7580D3D1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05C8197C" w14:textId="77777777" w:rsidTr="0098705B">
        <w:tc>
          <w:tcPr>
            <w:tcW w:w="468" w:type="dxa"/>
            <w:vAlign w:val="center"/>
          </w:tcPr>
          <w:p w14:paraId="5A696B8B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94F9581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EF6540">
              <w:rPr>
                <w:sz w:val="24"/>
                <w:szCs w:val="24"/>
              </w:rPr>
              <w:t>Nonbasic</w:t>
            </w:r>
            <w:proofErr w:type="spellEnd"/>
            <w:r w:rsidRPr="00EF6540">
              <w:rPr>
                <w:sz w:val="24"/>
                <w:szCs w:val="24"/>
              </w:rPr>
              <w:t xml:space="preserve"> service:</w:t>
            </w:r>
          </w:p>
        </w:tc>
        <w:tc>
          <w:tcPr>
            <w:tcW w:w="2587" w:type="dxa"/>
            <w:vAlign w:val="center"/>
          </w:tcPr>
          <w:p w14:paraId="1D273FD2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24F1867B" w14:textId="77777777" w:rsidTr="0098705B">
        <w:tc>
          <w:tcPr>
            <w:tcW w:w="468" w:type="dxa"/>
            <w:vAlign w:val="center"/>
          </w:tcPr>
          <w:p w14:paraId="68865461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45FFF22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Toll service:</w:t>
            </w:r>
          </w:p>
        </w:tc>
        <w:tc>
          <w:tcPr>
            <w:tcW w:w="2587" w:type="dxa"/>
            <w:vAlign w:val="center"/>
          </w:tcPr>
          <w:p w14:paraId="71CB726C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5DF26B2F" w14:textId="77777777" w:rsidTr="0098705B">
        <w:tc>
          <w:tcPr>
            <w:tcW w:w="468" w:type="dxa"/>
            <w:vAlign w:val="center"/>
          </w:tcPr>
          <w:p w14:paraId="60C0F03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4CCCF37" w14:textId="77777777" w:rsidR="00F22E7A" w:rsidRPr="00EF6540" w:rsidRDefault="00F22E7A" w:rsidP="00F22E7A">
            <w:pPr>
              <w:rPr>
                <w:b/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 xml:space="preserve">                                    </w:t>
            </w:r>
            <w:r w:rsidRPr="00EF6540">
              <w:rPr>
                <w:b/>
                <w:sz w:val="24"/>
                <w:szCs w:val="24"/>
              </w:rPr>
              <w:t>Total gross write-offs:</w:t>
            </w:r>
          </w:p>
        </w:tc>
        <w:tc>
          <w:tcPr>
            <w:tcW w:w="2587" w:type="dxa"/>
            <w:vAlign w:val="center"/>
          </w:tcPr>
          <w:p w14:paraId="20364B4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DB302EE" w14:textId="77777777" w:rsidTr="0098705B">
        <w:tc>
          <w:tcPr>
            <w:tcW w:w="468" w:type="dxa"/>
            <w:vAlign w:val="center"/>
          </w:tcPr>
          <w:p w14:paraId="3806D11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10</w:t>
            </w:r>
          </w:p>
        </w:tc>
        <w:tc>
          <w:tcPr>
            <w:tcW w:w="6480" w:type="dxa"/>
          </w:tcPr>
          <w:p w14:paraId="7890A2EA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Local exchange carrier net write-offs of uncollectible residential accounts separated as follows:</w:t>
            </w:r>
          </w:p>
        </w:tc>
        <w:tc>
          <w:tcPr>
            <w:tcW w:w="2587" w:type="dxa"/>
            <w:vAlign w:val="center"/>
          </w:tcPr>
          <w:p w14:paraId="5FC6EE5B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195B2F97" w14:textId="77777777" w:rsidTr="0098705B">
        <w:tc>
          <w:tcPr>
            <w:tcW w:w="468" w:type="dxa"/>
            <w:vAlign w:val="center"/>
          </w:tcPr>
          <w:p w14:paraId="0784578E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7B1F960F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Basic service:</w:t>
            </w:r>
          </w:p>
        </w:tc>
        <w:tc>
          <w:tcPr>
            <w:tcW w:w="2587" w:type="dxa"/>
            <w:vAlign w:val="center"/>
          </w:tcPr>
          <w:p w14:paraId="05CCB57D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1F675E8D" w14:textId="77777777" w:rsidTr="0098705B">
        <w:tc>
          <w:tcPr>
            <w:tcW w:w="468" w:type="dxa"/>
            <w:vAlign w:val="center"/>
          </w:tcPr>
          <w:p w14:paraId="5A3D69A7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10B158C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EF6540">
              <w:rPr>
                <w:sz w:val="24"/>
                <w:szCs w:val="24"/>
              </w:rPr>
              <w:t>Nonbasic</w:t>
            </w:r>
            <w:proofErr w:type="spellEnd"/>
            <w:r w:rsidRPr="00EF6540">
              <w:rPr>
                <w:sz w:val="24"/>
                <w:szCs w:val="24"/>
              </w:rPr>
              <w:t xml:space="preserve"> service:</w:t>
            </w:r>
          </w:p>
        </w:tc>
        <w:tc>
          <w:tcPr>
            <w:tcW w:w="2587" w:type="dxa"/>
            <w:vAlign w:val="center"/>
          </w:tcPr>
          <w:p w14:paraId="2146423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4C865A0E" w14:textId="77777777" w:rsidTr="0098705B">
        <w:tc>
          <w:tcPr>
            <w:tcW w:w="468" w:type="dxa"/>
            <w:vAlign w:val="center"/>
          </w:tcPr>
          <w:p w14:paraId="5BA2FE08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6F860F2" w14:textId="77777777" w:rsidR="00F22E7A" w:rsidRPr="00EF6540" w:rsidRDefault="00F22E7A" w:rsidP="00F22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Toll service:</w:t>
            </w:r>
          </w:p>
        </w:tc>
        <w:tc>
          <w:tcPr>
            <w:tcW w:w="2587" w:type="dxa"/>
            <w:vAlign w:val="center"/>
          </w:tcPr>
          <w:p w14:paraId="51ABF297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1E98ABA0" w14:textId="77777777" w:rsidTr="0098705B">
        <w:tc>
          <w:tcPr>
            <w:tcW w:w="468" w:type="dxa"/>
            <w:vAlign w:val="center"/>
          </w:tcPr>
          <w:p w14:paraId="5939A4B3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3704A29" w14:textId="77777777" w:rsidR="00F22E7A" w:rsidRPr="00EF6540" w:rsidRDefault="00F22E7A" w:rsidP="00F22E7A">
            <w:pPr>
              <w:rPr>
                <w:b/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 xml:space="preserve">                                    </w:t>
            </w:r>
            <w:r w:rsidRPr="00EF6540">
              <w:rPr>
                <w:b/>
                <w:sz w:val="24"/>
                <w:szCs w:val="24"/>
              </w:rPr>
              <w:t>Total net write-offs:</w:t>
            </w:r>
          </w:p>
        </w:tc>
        <w:tc>
          <w:tcPr>
            <w:tcW w:w="2587" w:type="dxa"/>
            <w:vAlign w:val="center"/>
          </w:tcPr>
          <w:p w14:paraId="55D9C648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6EC1C414" w14:textId="77777777" w:rsidTr="0098705B">
        <w:tc>
          <w:tcPr>
            <w:tcW w:w="468" w:type="dxa"/>
            <w:vAlign w:val="center"/>
          </w:tcPr>
          <w:p w14:paraId="61FCC914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11</w:t>
            </w:r>
          </w:p>
        </w:tc>
        <w:tc>
          <w:tcPr>
            <w:tcW w:w="6480" w:type="dxa"/>
          </w:tcPr>
          <w:p w14:paraId="39BAE7B2" w14:textId="77777777" w:rsidR="00F22E7A" w:rsidRDefault="00F22E7A" w:rsidP="00F22E7A">
            <w:pPr>
              <w:rPr>
                <w:sz w:val="24"/>
                <w:szCs w:val="24"/>
              </w:rPr>
            </w:pPr>
            <w:r w:rsidRPr="00EF6540">
              <w:rPr>
                <w:sz w:val="24"/>
                <w:szCs w:val="24"/>
              </w:rPr>
              <w:t>The total number of Chapter 64 disputes handled:</w:t>
            </w:r>
          </w:p>
          <w:p w14:paraId="525772ED" w14:textId="77777777" w:rsidR="00F22E7A" w:rsidRPr="00EF6540" w:rsidRDefault="00F22E7A" w:rsidP="00F22E7A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14:paraId="7FE0D113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176B9AAC" w14:textId="77777777" w:rsidTr="0098705B">
        <w:tc>
          <w:tcPr>
            <w:tcW w:w="468" w:type="dxa"/>
            <w:vAlign w:val="center"/>
          </w:tcPr>
          <w:p w14:paraId="1A8C2EF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EF2DC1A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Submitted by: </w:t>
            </w:r>
          </w:p>
        </w:tc>
        <w:tc>
          <w:tcPr>
            <w:tcW w:w="2587" w:type="dxa"/>
            <w:vAlign w:val="center"/>
          </w:tcPr>
          <w:p w14:paraId="15F29C87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22BAA705" w14:textId="77777777" w:rsidTr="0098705B">
        <w:tc>
          <w:tcPr>
            <w:tcW w:w="468" w:type="dxa"/>
            <w:vAlign w:val="center"/>
          </w:tcPr>
          <w:p w14:paraId="161971BC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92CE414" w14:textId="77777777" w:rsidR="00F22E7A" w:rsidRPr="00EF6540" w:rsidRDefault="00F22E7A" w:rsidP="00F22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2587" w:type="dxa"/>
            <w:vAlign w:val="center"/>
          </w:tcPr>
          <w:p w14:paraId="7A36C89A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  <w:tr w:rsidR="00F22E7A" w:rsidRPr="00EF6540" w14:paraId="7A5A45DD" w14:textId="77777777" w:rsidTr="0098705B">
        <w:tc>
          <w:tcPr>
            <w:tcW w:w="468" w:type="dxa"/>
            <w:vAlign w:val="center"/>
          </w:tcPr>
          <w:p w14:paraId="6DA63405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C268F6A" w14:textId="77777777" w:rsidR="00F22E7A" w:rsidRDefault="00F22E7A" w:rsidP="00F22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Phone#: </w:t>
            </w:r>
          </w:p>
        </w:tc>
        <w:tc>
          <w:tcPr>
            <w:tcW w:w="2587" w:type="dxa"/>
            <w:vAlign w:val="center"/>
          </w:tcPr>
          <w:p w14:paraId="0E58A90E" w14:textId="77777777" w:rsidR="00F22E7A" w:rsidRPr="00EF6540" w:rsidRDefault="00F22E7A" w:rsidP="00F22E7A">
            <w:pPr>
              <w:jc w:val="right"/>
              <w:rPr>
                <w:sz w:val="24"/>
                <w:szCs w:val="24"/>
              </w:rPr>
            </w:pPr>
          </w:p>
        </w:tc>
      </w:tr>
    </w:tbl>
    <w:p w14:paraId="74372FEF" w14:textId="77777777" w:rsidR="00881113" w:rsidRPr="008A1A37" w:rsidRDefault="00881113" w:rsidP="0098705B">
      <w:pPr>
        <w:rPr>
          <w:sz w:val="24"/>
          <w:szCs w:val="24"/>
        </w:rPr>
      </w:pPr>
    </w:p>
    <w:sectPr w:rsidR="00881113" w:rsidRPr="008A1A37" w:rsidSect="00F22E7A">
      <w:type w:val="continuous"/>
      <w:pgSz w:w="12240" w:h="15840"/>
      <w:pgMar w:top="504" w:right="117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7E9E8" w14:textId="77777777" w:rsidR="00D265AA" w:rsidRDefault="00D265AA">
      <w:r>
        <w:separator/>
      </w:r>
    </w:p>
  </w:endnote>
  <w:endnote w:type="continuationSeparator" w:id="0">
    <w:p w14:paraId="1DFE346B" w14:textId="77777777" w:rsidR="00D265AA" w:rsidRDefault="00D2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04B3" w14:textId="73171DB2" w:rsidR="00D265AA" w:rsidRDefault="00D265AA">
    <w:pPr>
      <w:pStyle w:val="Footer"/>
    </w:pPr>
    <w:r>
      <w:t xml:space="preserve">Updated  </w:t>
    </w:r>
    <w:r w:rsidR="006D09A9">
      <w:t>1</w:t>
    </w:r>
    <w:r>
      <w:t>2</w:t>
    </w:r>
    <w:r w:rsidR="006D09A9">
      <w:t>/31</w:t>
    </w:r>
    <w: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5250F" w14:textId="77777777" w:rsidR="00D265AA" w:rsidRDefault="00D265AA">
      <w:r>
        <w:separator/>
      </w:r>
    </w:p>
  </w:footnote>
  <w:footnote w:type="continuationSeparator" w:id="0">
    <w:p w14:paraId="5540D6A7" w14:textId="77777777" w:rsidR="00D265AA" w:rsidRDefault="00D2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D305C"/>
    <w:multiLevelType w:val="hybridMultilevel"/>
    <w:tmpl w:val="54140CFE"/>
    <w:lvl w:ilvl="0" w:tplc="6AFE26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84B8B"/>
    <w:rsid w:val="000903FF"/>
    <w:rsid w:val="000A06E8"/>
    <w:rsid w:val="000A18B4"/>
    <w:rsid w:val="000E01FF"/>
    <w:rsid w:val="000E6C6C"/>
    <w:rsid w:val="001209F1"/>
    <w:rsid w:val="00142F4E"/>
    <w:rsid w:val="001435CB"/>
    <w:rsid w:val="00157C14"/>
    <w:rsid w:val="001604BA"/>
    <w:rsid w:val="00184E04"/>
    <w:rsid w:val="00187F45"/>
    <w:rsid w:val="001A4A86"/>
    <w:rsid w:val="002229C3"/>
    <w:rsid w:val="00252FC7"/>
    <w:rsid w:val="0029471C"/>
    <w:rsid w:val="0029774D"/>
    <w:rsid w:val="002A2E39"/>
    <w:rsid w:val="00321973"/>
    <w:rsid w:val="00367F89"/>
    <w:rsid w:val="00390C50"/>
    <w:rsid w:val="003B56EE"/>
    <w:rsid w:val="003F2444"/>
    <w:rsid w:val="00441D41"/>
    <w:rsid w:val="00453010"/>
    <w:rsid w:val="004A1B8E"/>
    <w:rsid w:val="004C4085"/>
    <w:rsid w:val="004C45D6"/>
    <w:rsid w:val="004D478F"/>
    <w:rsid w:val="004F5D3E"/>
    <w:rsid w:val="005055CD"/>
    <w:rsid w:val="00530D6A"/>
    <w:rsid w:val="005429B3"/>
    <w:rsid w:val="00567878"/>
    <w:rsid w:val="005B6370"/>
    <w:rsid w:val="005E25C5"/>
    <w:rsid w:val="005F5BFD"/>
    <w:rsid w:val="006121E4"/>
    <w:rsid w:val="00672F29"/>
    <w:rsid w:val="006755C0"/>
    <w:rsid w:val="00676C14"/>
    <w:rsid w:val="006A4FFF"/>
    <w:rsid w:val="006D09A9"/>
    <w:rsid w:val="006D318F"/>
    <w:rsid w:val="006D4B75"/>
    <w:rsid w:val="006D6D9A"/>
    <w:rsid w:val="006F134B"/>
    <w:rsid w:val="00713E86"/>
    <w:rsid w:val="00724619"/>
    <w:rsid w:val="007C3B74"/>
    <w:rsid w:val="00803709"/>
    <w:rsid w:val="0084659C"/>
    <w:rsid w:val="0085745D"/>
    <w:rsid w:val="008658B9"/>
    <w:rsid w:val="00881113"/>
    <w:rsid w:val="00886FC4"/>
    <w:rsid w:val="008A1A37"/>
    <w:rsid w:val="008A1EDE"/>
    <w:rsid w:val="008D5445"/>
    <w:rsid w:val="008E3770"/>
    <w:rsid w:val="00907A0F"/>
    <w:rsid w:val="009136D1"/>
    <w:rsid w:val="00915EF3"/>
    <w:rsid w:val="00937134"/>
    <w:rsid w:val="00945728"/>
    <w:rsid w:val="00954D89"/>
    <w:rsid w:val="00964407"/>
    <w:rsid w:val="009657E0"/>
    <w:rsid w:val="0097772E"/>
    <w:rsid w:val="0098705B"/>
    <w:rsid w:val="009A57B8"/>
    <w:rsid w:val="009F5F66"/>
    <w:rsid w:val="00A05D72"/>
    <w:rsid w:val="00A06AAA"/>
    <w:rsid w:val="00A25067"/>
    <w:rsid w:val="00A60B27"/>
    <w:rsid w:val="00A63E8A"/>
    <w:rsid w:val="00AA7CE9"/>
    <w:rsid w:val="00AF3195"/>
    <w:rsid w:val="00B3231D"/>
    <w:rsid w:val="00B36A80"/>
    <w:rsid w:val="00BA5B4D"/>
    <w:rsid w:val="00BC49D6"/>
    <w:rsid w:val="00BE5119"/>
    <w:rsid w:val="00C439F0"/>
    <w:rsid w:val="00C74A51"/>
    <w:rsid w:val="00C95CC2"/>
    <w:rsid w:val="00CA499E"/>
    <w:rsid w:val="00CB5738"/>
    <w:rsid w:val="00CC643F"/>
    <w:rsid w:val="00CD395A"/>
    <w:rsid w:val="00CE6D1D"/>
    <w:rsid w:val="00D00A99"/>
    <w:rsid w:val="00D21603"/>
    <w:rsid w:val="00D25C37"/>
    <w:rsid w:val="00D265AA"/>
    <w:rsid w:val="00D50E69"/>
    <w:rsid w:val="00E10A2D"/>
    <w:rsid w:val="00E11BEB"/>
    <w:rsid w:val="00E275EA"/>
    <w:rsid w:val="00E833A3"/>
    <w:rsid w:val="00E948AB"/>
    <w:rsid w:val="00EB230A"/>
    <w:rsid w:val="00EE34BD"/>
    <w:rsid w:val="00EF0177"/>
    <w:rsid w:val="00F22E7A"/>
    <w:rsid w:val="00F326F6"/>
    <w:rsid w:val="00F7094C"/>
    <w:rsid w:val="00F75359"/>
    <w:rsid w:val="00F837D7"/>
    <w:rsid w:val="00FD1708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E021C"/>
  <w15:docId w15:val="{D6E6D1D0-ECE4-4DEF-B1F0-7E71B60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881113"/>
    <w:rPr>
      <w:color w:val="0000FF"/>
      <w:u w:val="single"/>
    </w:rPr>
  </w:style>
  <w:style w:type="paragraph" w:styleId="Title">
    <w:name w:val="Title"/>
    <w:basedOn w:val="Normal"/>
    <w:qFormat/>
    <w:rsid w:val="00CC643F"/>
    <w:pPr>
      <w:jc w:val="center"/>
    </w:pPr>
    <w:rPr>
      <w:sz w:val="32"/>
    </w:rPr>
  </w:style>
  <w:style w:type="table" w:styleId="TableGrid">
    <w:name w:val="Table Grid"/>
    <w:basedOn w:val="TableNormal"/>
    <w:rsid w:val="00CC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A2E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E39"/>
  </w:style>
  <w:style w:type="character" w:customStyle="1" w:styleId="CommentTextChar">
    <w:name w:val="Comment Text Char"/>
    <w:basedOn w:val="DefaultParagraphFont"/>
    <w:link w:val="CommentText"/>
    <w:rsid w:val="002A2E39"/>
  </w:style>
  <w:style w:type="paragraph" w:styleId="CommentSubject">
    <w:name w:val="annotation subject"/>
    <w:basedOn w:val="CommentText"/>
    <w:next w:val="CommentText"/>
    <w:link w:val="CommentSubjectChar"/>
    <w:rsid w:val="002A2E39"/>
    <w:rPr>
      <w:b/>
      <w:bCs/>
    </w:rPr>
  </w:style>
  <w:style w:type="character" w:customStyle="1" w:styleId="CommentSubjectChar">
    <w:name w:val="Comment Subject Char"/>
    <w:link w:val="CommentSubject"/>
    <w:rsid w:val="002A2E39"/>
    <w:rPr>
      <w:b/>
      <w:bCs/>
    </w:rPr>
  </w:style>
  <w:style w:type="character" w:styleId="FollowedHyperlink">
    <w:name w:val="FollowedHyperlink"/>
    <w:basedOn w:val="DefaultParagraphFont"/>
    <w:rsid w:val="008A1A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PUC-Telco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cksi.state.pa.us:407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code.com/secure/data/052/chapter64/subchapJtoc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A5CB-2BEC-45A0-A33C-57325744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3070</CharactersWithSpaces>
  <SharedDoc>false</SharedDoc>
  <HLinks>
    <vt:vector size="12" baseType="variant">
      <vt:variant>
        <vt:i4>6422531</vt:i4>
      </vt:variant>
      <vt:variant>
        <vt:i4>3</vt:i4>
      </vt:variant>
      <vt:variant>
        <vt:i4>0</vt:i4>
      </vt:variant>
      <vt:variant>
        <vt:i4>5</vt:i4>
      </vt:variant>
      <vt:variant>
        <vt:lpwstr>mailto:sjohnson-g@pa.gov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http://pucksi.state.pa.us/PUCInformationServices/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Page, Cyndi</cp:lastModifiedBy>
  <cp:revision>2</cp:revision>
  <cp:lastPrinted>2018-02-26T21:47:00Z</cp:lastPrinted>
  <dcterms:created xsi:type="dcterms:W3CDTF">2018-12-31T16:50:00Z</dcterms:created>
  <dcterms:modified xsi:type="dcterms:W3CDTF">2018-12-31T16:50:00Z</dcterms:modified>
</cp:coreProperties>
</file>