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AD5550">
            <w:pPr>
              <w:rPr>
                <w:sz w:val="24"/>
              </w:rPr>
            </w:pPr>
            <w:bookmarkStart w:id="0" w:name="_GoBack"/>
            <w:bookmarkEnd w:id="0"/>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74A51" w:rsidRDefault="00BD7E63">
            <w:pPr>
              <w:jc w:val="center"/>
              <w:rPr>
                <w:rFonts w:ascii="Arial" w:hAnsi="Arial"/>
                <w:sz w:val="12"/>
              </w:rPr>
            </w:pPr>
            <w:r>
              <w:rPr>
                <w:rFonts w:ascii="Arial" w:hAnsi="Arial"/>
                <w:color w:val="000080"/>
                <w:spacing w:val="-3"/>
                <w:sz w:val="26"/>
              </w:rPr>
              <w:t>400 NORTH STREET</w:t>
            </w:r>
            <w:r w:rsidR="00C74A51">
              <w:rPr>
                <w:rFonts w:ascii="Arial" w:hAnsi="Arial"/>
                <w:color w:val="000080"/>
                <w:spacing w:val="-3"/>
                <w:sz w:val="26"/>
              </w:rPr>
              <w:t>, HARRISBURG, PA 171</w:t>
            </w:r>
            <w:r>
              <w:rPr>
                <w:rFonts w:ascii="Arial" w:hAnsi="Arial"/>
                <w:color w:val="000080"/>
                <w:spacing w:val="-3"/>
                <w:sz w:val="26"/>
              </w:rPr>
              <w:t>20</w:t>
            </w:r>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C74A51" w:rsidRDefault="00C74A51">
      <w:pPr>
        <w:rPr>
          <w:sz w:val="24"/>
        </w:rPr>
        <w:sectPr w:rsidR="00C74A51">
          <w:pgSz w:w="12240" w:h="15840"/>
          <w:pgMar w:top="504" w:right="1440" w:bottom="1440" w:left="1440" w:header="720" w:footer="720" w:gutter="0"/>
          <w:cols w:space="720"/>
        </w:sectPr>
      </w:pPr>
    </w:p>
    <w:p w:rsidR="00641155" w:rsidRDefault="00641155" w:rsidP="00496D25">
      <w:pPr>
        <w:rPr>
          <w:sz w:val="24"/>
          <w:szCs w:val="24"/>
        </w:rPr>
      </w:pPr>
    </w:p>
    <w:p w:rsidR="003C10AC" w:rsidRPr="0073232F" w:rsidRDefault="003C10AC" w:rsidP="003C10AC">
      <w:pPr>
        <w:jc w:val="center"/>
        <w:rPr>
          <w:sz w:val="24"/>
          <w:szCs w:val="24"/>
        </w:rPr>
      </w:pPr>
    </w:p>
    <w:p w:rsidR="00641155" w:rsidRPr="0073232F" w:rsidRDefault="00641155" w:rsidP="00496D25">
      <w:pPr>
        <w:rPr>
          <w:sz w:val="24"/>
          <w:szCs w:val="24"/>
        </w:rPr>
      </w:pPr>
    </w:p>
    <w:p w:rsidR="00E040B3" w:rsidRPr="0073232F" w:rsidRDefault="00471B71" w:rsidP="00AC00B1">
      <w:pPr>
        <w:rPr>
          <w:sz w:val="24"/>
          <w:szCs w:val="24"/>
        </w:rPr>
      </w:pPr>
      <w:r w:rsidRPr="0073232F">
        <w:rPr>
          <w:sz w:val="24"/>
          <w:szCs w:val="24"/>
        </w:rPr>
        <w:t>TO</w:t>
      </w:r>
      <w:r w:rsidR="002C5C8B">
        <w:rPr>
          <w:sz w:val="24"/>
          <w:szCs w:val="24"/>
        </w:rPr>
        <w:t>:</w:t>
      </w:r>
      <w:r w:rsidRPr="0073232F">
        <w:rPr>
          <w:sz w:val="24"/>
          <w:szCs w:val="24"/>
        </w:rPr>
        <w:t xml:space="preserve"> </w:t>
      </w:r>
      <w:r w:rsidR="00C02FF3" w:rsidRPr="0073232F">
        <w:rPr>
          <w:sz w:val="24"/>
          <w:szCs w:val="24"/>
        </w:rPr>
        <w:t xml:space="preserve">ALL </w:t>
      </w:r>
      <w:r w:rsidR="00567B74" w:rsidRPr="0073232F">
        <w:rPr>
          <w:sz w:val="24"/>
          <w:szCs w:val="24"/>
        </w:rPr>
        <w:t xml:space="preserve">COMPETITIVE ACCESS PROVIDER </w:t>
      </w:r>
      <w:r w:rsidR="00C02FF3" w:rsidRPr="0073232F">
        <w:rPr>
          <w:sz w:val="24"/>
          <w:szCs w:val="24"/>
        </w:rPr>
        <w:t>TELECOMMUNICATIONS UTILITIES</w:t>
      </w:r>
    </w:p>
    <w:p w:rsidR="00E040B3" w:rsidRPr="0073232F" w:rsidRDefault="00E040B3" w:rsidP="00AC00B1">
      <w:pPr>
        <w:rPr>
          <w:sz w:val="24"/>
          <w:szCs w:val="24"/>
        </w:rPr>
      </w:pPr>
      <w:r w:rsidRPr="0073232F">
        <w:rPr>
          <w:sz w:val="24"/>
          <w:szCs w:val="24"/>
        </w:rPr>
        <w:t xml:space="preserve">      </w:t>
      </w:r>
      <w:r w:rsidR="002C5C8B">
        <w:rPr>
          <w:sz w:val="24"/>
          <w:szCs w:val="24"/>
        </w:rPr>
        <w:t xml:space="preserve"> </w:t>
      </w:r>
      <w:r w:rsidRPr="0073232F">
        <w:rPr>
          <w:sz w:val="24"/>
          <w:szCs w:val="24"/>
        </w:rPr>
        <w:t xml:space="preserve">ALL FACILITIES BASED TOLL TELECOMMUNICATIONS UTILITIES AND </w:t>
      </w:r>
    </w:p>
    <w:p w:rsidR="00C02FF3" w:rsidRPr="0073232F" w:rsidRDefault="00E040B3" w:rsidP="00AC00B1">
      <w:pPr>
        <w:rPr>
          <w:sz w:val="24"/>
          <w:szCs w:val="24"/>
        </w:rPr>
      </w:pPr>
      <w:r w:rsidRPr="0073232F">
        <w:rPr>
          <w:sz w:val="24"/>
          <w:szCs w:val="24"/>
        </w:rPr>
        <w:t xml:space="preserve">      </w:t>
      </w:r>
      <w:r w:rsidR="002C5C8B">
        <w:rPr>
          <w:sz w:val="24"/>
          <w:szCs w:val="24"/>
        </w:rPr>
        <w:t xml:space="preserve"> </w:t>
      </w:r>
      <w:r w:rsidRPr="0073232F">
        <w:rPr>
          <w:sz w:val="24"/>
          <w:szCs w:val="24"/>
        </w:rPr>
        <w:t>ALL NON-FACILITIES BASED TELECOMMUNICATIONS UTILITIES</w:t>
      </w:r>
      <w:r w:rsidR="00471B71" w:rsidRPr="0073232F">
        <w:rPr>
          <w:sz w:val="24"/>
          <w:szCs w:val="24"/>
        </w:rPr>
        <w:t>:</w:t>
      </w:r>
      <w:r w:rsidR="00C02FF3" w:rsidRPr="0073232F">
        <w:rPr>
          <w:sz w:val="24"/>
          <w:szCs w:val="24"/>
        </w:rPr>
        <w:t xml:space="preserve"> </w:t>
      </w:r>
    </w:p>
    <w:p w:rsidR="00FB7F6E" w:rsidRPr="0073232F" w:rsidRDefault="00FB7F6E" w:rsidP="00AC00B1">
      <w:pPr>
        <w:rPr>
          <w:sz w:val="24"/>
          <w:szCs w:val="24"/>
        </w:rPr>
      </w:pPr>
    </w:p>
    <w:p w:rsidR="00FB7F6E" w:rsidRPr="0073232F" w:rsidRDefault="00FB7F6E" w:rsidP="0073232F">
      <w:pPr>
        <w:ind w:left="1440" w:hanging="720"/>
        <w:rPr>
          <w:sz w:val="24"/>
          <w:szCs w:val="24"/>
        </w:rPr>
      </w:pPr>
      <w:r w:rsidRPr="0073232F">
        <w:rPr>
          <w:sz w:val="24"/>
          <w:szCs w:val="24"/>
        </w:rPr>
        <w:t>Re:</w:t>
      </w:r>
      <w:r w:rsidR="0073232F">
        <w:rPr>
          <w:sz w:val="24"/>
          <w:szCs w:val="24"/>
        </w:rPr>
        <w:tab/>
      </w:r>
      <w:r w:rsidRPr="0073232F">
        <w:rPr>
          <w:sz w:val="24"/>
          <w:szCs w:val="24"/>
        </w:rPr>
        <w:t>Filing of the 20</w:t>
      </w:r>
      <w:r w:rsidR="00BD7E63">
        <w:rPr>
          <w:sz w:val="24"/>
          <w:szCs w:val="24"/>
        </w:rPr>
        <w:t>16</w:t>
      </w:r>
      <w:r w:rsidRPr="0073232F">
        <w:rPr>
          <w:sz w:val="24"/>
          <w:szCs w:val="24"/>
        </w:rPr>
        <w:t xml:space="preserve"> Annual </w:t>
      </w:r>
      <w:r w:rsidR="003D5C2F" w:rsidRPr="0073232F">
        <w:rPr>
          <w:sz w:val="24"/>
          <w:szCs w:val="24"/>
        </w:rPr>
        <w:t xml:space="preserve">Financial </w:t>
      </w:r>
      <w:r w:rsidRPr="0073232F">
        <w:rPr>
          <w:sz w:val="24"/>
          <w:szCs w:val="24"/>
        </w:rPr>
        <w:t>Report</w:t>
      </w:r>
    </w:p>
    <w:p w:rsidR="00AC00B1" w:rsidRPr="0073232F" w:rsidRDefault="00AC00B1" w:rsidP="00AC00B1">
      <w:pPr>
        <w:rPr>
          <w:sz w:val="24"/>
          <w:szCs w:val="24"/>
        </w:rPr>
      </w:pPr>
    </w:p>
    <w:p w:rsidR="00FB7F6E" w:rsidRPr="0073232F" w:rsidRDefault="00AC00B1" w:rsidP="00AC00B1">
      <w:pPr>
        <w:rPr>
          <w:sz w:val="24"/>
          <w:szCs w:val="24"/>
        </w:rPr>
      </w:pPr>
      <w:r w:rsidRPr="0073232F">
        <w:rPr>
          <w:sz w:val="24"/>
          <w:szCs w:val="24"/>
        </w:rPr>
        <w:tab/>
      </w:r>
      <w:r w:rsidR="00471B71" w:rsidRPr="0073232F">
        <w:rPr>
          <w:sz w:val="24"/>
          <w:szCs w:val="24"/>
        </w:rPr>
        <w:t xml:space="preserve">As </w:t>
      </w:r>
      <w:r w:rsidR="00C02FF3" w:rsidRPr="0073232F">
        <w:rPr>
          <w:sz w:val="24"/>
          <w:szCs w:val="24"/>
        </w:rPr>
        <w:t xml:space="preserve">a </w:t>
      </w:r>
      <w:r w:rsidR="00567B74" w:rsidRPr="0073232F">
        <w:rPr>
          <w:sz w:val="24"/>
          <w:szCs w:val="24"/>
        </w:rPr>
        <w:t>Competitive Access Provider</w:t>
      </w:r>
      <w:r w:rsidRPr="0073232F">
        <w:rPr>
          <w:sz w:val="24"/>
          <w:szCs w:val="24"/>
        </w:rPr>
        <w:t xml:space="preserve">, Facilities Based Toll, </w:t>
      </w:r>
      <w:r w:rsidR="003D5C2F" w:rsidRPr="0073232F">
        <w:rPr>
          <w:sz w:val="24"/>
          <w:szCs w:val="24"/>
        </w:rPr>
        <w:t xml:space="preserve">or Non-Facilities Based Telecommunications Provider </w:t>
      </w:r>
      <w:r w:rsidR="00C02FF3" w:rsidRPr="0073232F">
        <w:rPr>
          <w:sz w:val="24"/>
          <w:szCs w:val="24"/>
        </w:rPr>
        <w:t>furnishing service to the public in the Commonwealth of Pennsylvania</w:t>
      </w:r>
      <w:r w:rsidR="00FB7F6E" w:rsidRPr="0073232F">
        <w:rPr>
          <w:sz w:val="24"/>
          <w:szCs w:val="24"/>
        </w:rPr>
        <w:t xml:space="preserve">, </w:t>
      </w:r>
      <w:r w:rsidR="00C02FF3" w:rsidRPr="0073232F">
        <w:rPr>
          <w:sz w:val="24"/>
          <w:szCs w:val="24"/>
        </w:rPr>
        <w:t>you are required to file an annual financial report for the year ended December 31, 20</w:t>
      </w:r>
      <w:r w:rsidR="00BD7E63">
        <w:rPr>
          <w:sz w:val="24"/>
          <w:szCs w:val="24"/>
        </w:rPr>
        <w:t>16</w:t>
      </w:r>
      <w:r w:rsidR="00471B71" w:rsidRPr="0073232F">
        <w:rPr>
          <w:sz w:val="24"/>
          <w:szCs w:val="24"/>
        </w:rPr>
        <w:t>.  By filing a 20</w:t>
      </w:r>
      <w:r w:rsidR="00BD7E63">
        <w:rPr>
          <w:sz w:val="24"/>
          <w:szCs w:val="24"/>
        </w:rPr>
        <w:t>16</w:t>
      </w:r>
      <w:r w:rsidR="00471B71" w:rsidRPr="0073232F">
        <w:rPr>
          <w:sz w:val="24"/>
          <w:szCs w:val="24"/>
        </w:rPr>
        <w:t xml:space="preserve"> annual financial report, you will be </w:t>
      </w:r>
      <w:r w:rsidR="00C02FF3" w:rsidRPr="0073232F">
        <w:rPr>
          <w:sz w:val="24"/>
          <w:szCs w:val="24"/>
        </w:rPr>
        <w:t>fulfill</w:t>
      </w:r>
      <w:r w:rsidR="00471B71" w:rsidRPr="0073232F">
        <w:rPr>
          <w:sz w:val="24"/>
          <w:szCs w:val="24"/>
        </w:rPr>
        <w:t>ing</w:t>
      </w:r>
      <w:r w:rsidR="00C02FF3" w:rsidRPr="0073232F">
        <w:rPr>
          <w:sz w:val="24"/>
          <w:szCs w:val="24"/>
        </w:rPr>
        <w:t xml:space="preserve"> your requireme</w:t>
      </w:r>
      <w:r w:rsidRPr="0073232F">
        <w:rPr>
          <w:sz w:val="24"/>
          <w:szCs w:val="24"/>
        </w:rPr>
        <w:t>nts under Pa. C.S.A. Title 66.</w:t>
      </w:r>
    </w:p>
    <w:p w:rsidR="00AC00B1" w:rsidRPr="0073232F" w:rsidRDefault="00AC00B1" w:rsidP="00AC00B1">
      <w:pPr>
        <w:rPr>
          <w:sz w:val="24"/>
          <w:szCs w:val="24"/>
        </w:rPr>
      </w:pPr>
    </w:p>
    <w:p w:rsidR="00AC00B1" w:rsidRPr="0073232F" w:rsidRDefault="00AC00B1" w:rsidP="00AC00B1">
      <w:pPr>
        <w:rPr>
          <w:sz w:val="24"/>
          <w:szCs w:val="24"/>
        </w:rPr>
      </w:pPr>
      <w:r w:rsidRPr="0073232F">
        <w:rPr>
          <w:sz w:val="24"/>
          <w:szCs w:val="24"/>
        </w:rPr>
        <w:tab/>
      </w:r>
      <w:proofErr w:type="gramStart"/>
      <w:r w:rsidRPr="0073232F">
        <w:rPr>
          <w:sz w:val="24"/>
          <w:szCs w:val="24"/>
        </w:rPr>
        <w:t>Chapter 5</w:t>
      </w:r>
      <w:r w:rsidR="00C02FF3" w:rsidRPr="0073232F">
        <w:rPr>
          <w:sz w:val="24"/>
          <w:szCs w:val="24"/>
        </w:rPr>
        <w:t xml:space="preserve"> of the Public Utility Code, 66 PA.</w:t>
      </w:r>
      <w:proofErr w:type="gramEnd"/>
      <w:r w:rsidR="00C02FF3" w:rsidRPr="0073232F">
        <w:rPr>
          <w:sz w:val="24"/>
          <w:szCs w:val="24"/>
        </w:rPr>
        <w:t xml:space="preserve"> C.S.</w:t>
      </w:r>
      <w:r w:rsidRPr="0073232F">
        <w:rPr>
          <w:sz w:val="24"/>
          <w:szCs w:val="24"/>
        </w:rPr>
        <w:t xml:space="preserve"> §504:</w:t>
      </w:r>
    </w:p>
    <w:p w:rsidR="00AC00B1" w:rsidRPr="0073232F" w:rsidRDefault="00AC00B1" w:rsidP="00AC00B1">
      <w:pPr>
        <w:rPr>
          <w:sz w:val="24"/>
          <w:szCs w:val="24"/>
        </w:rPr>
      </w:pPr>
    </w:p>
    <w:p w:rsidR="00C02FF3" w:rsidRPr="0073232F" w:rsidRDefault="00C02FF3" w:rsidP="0073232F">
      <w:pPr>
        <w:ind w:left="1440"/>
        <w:rPr>
          <w:sz w:val="24"/>
          <w:szCs w:val="24"/>
        </w:rPr>
      </w:pPr>
      <w:r w:rsidRPr="0073232F">
        <w:rPr>
          <w:sz w:val="24"/>
          <w:szCs w:val="24"/>
        </w:rPr>
        <w:t>"The Commission may require any public utility to file periodical reports, at such time, and in such forms, and of such content, as the Commission may prescribe, and special reports concerning any matter whatsoever about which the Commission is authorized to inquire, or keep itself informed, or which it is required to enforce.  The Commission may require any public utility to file with it a copy of any report filed by such public utility with any Federal Department or regulatory body.  All reports shall be under oath or affirmation when required by the Co</w:t>
      </w:r>
      <w:r w:rsidR="006A65D3" w:rsidRPr="0073232F">
        <w:rPr>
          <w:sz w:val="24"/>
          <w:szCs w:val="24"/>
        </w:rPr>
        <w:t>mmission."</w:t>
      </w:r>
    </w:p>
    <w:p w:rsidR="00AC00B1" w:rsidRPr="0073232F" w:rsidRDefault="00AC00B1" w:rsidP="00AC00B1">
      <w:pPr>
        <w:rPr>
          <w:sz w:val="24"/>
          <w:szCs w:val="24"/>
        </w:rPr>
      </w:pPr>
    </w:p>
    <w:p w:rsidR="00C02FF3" w:rsidRPr="0073232F" w:rsidRDefault="00C02FF3" w:rsidP="0073232F">
      <w:pPr>
        <w:ind w:firstLine="720"/>
        <w:rPr>
          <w:sz w:val="24"/>
          <w:szCs w:val="24"/>
        </w:rPr>
      </w:pPr>
      <w:proofErr w:type="gramStart"/>
      <w:r w:rsidRPr="0073232F">
        <w:rPr>
          <w:sz w:val="24"/>
          <w:szCs w:val="24"/>
        </w:rPr>
        <w:t>Chapter 33 of the Public Utility Code, 66 PA.</w:t>
      </w:r>
      <w:proofErr w:type="gramEnd"/>
      <w:r w:rsidRPr="0073232F">
        <w:rPr>
          <w:sz w:val="24"/>
          <w:szCs w:val="24"/>
        </w:rPr>
        <w:t xml:space="preserve"> C.S. §3301 (a) under </w:t>
      </w:r>
      <w:r w:rsidR="006A65D3" w:rsidRPr="0073232F">
        <w:rPr>
          <w:sz w:val="24"/>
          <w:szCs w:val="24"/>
        </w:rPr>
        <w:t>“</w:t>
      </w:r>
      <w:r w:rsidRPr="0073232F">
        <w:rPr>
          <w:sz w:val="24"/>
          <w:szCs w:val="24"/>
        </w:rPr>
        <w:t>Civil Penalties for Violations</w:t>
      </w:r>
      <w:r w:rsidR="00FB7F6E" w:rsidRPr="0073232F">
        <w:rPr>
          <w:sz w:val="24"/>
          <w:szCs w:val="24"/>
        </w:rPr>
        <w:t>”</w:t>
      </w:r>
      <w:r w:rsidRPr="0073232F">
        <w:rPr>
          <w:sz w:val="24"/>
          <w:szCs w:val="24"/>
        </w:rPr>
        <w:t xml:space="preserve"> provides, in part, as follows: </w:t>
      </w:r>
    </w:p>
    <w:p w:rsidR="00AC00B1" w:rsidRPr="0073232F" w:rsidRDefault="00AC00B1" w:rsidP="00AC00B1">
      <w:pPr>
        <w:rPr>
          <w:sz w:val="24"/>
          <w:szCs w:val="24"/>
        </w:rPr>
      </w:pPr>
    </w:p>
    <w:p w:rsidR="00C02FF3" w:rsidRPr="0073232F" w:rsidRDefault="00AC00B1" w:rsidP="0073232F">
      <w:pPr>
        <w:ind w:left="1440"/>
        <w:rPr>
          <w:sz w:val="24"/>
          <w:szCs w:val="24"/>
        </w:rPr>
      </w:pPr>
      <w:r w:rsidRPr="0073232F">
        <w:rPr>
          <w:sz w:val="24"/>
          <w:szCs w:val="24"/>
        </w:rPr>
        <w:t>"(a) If any public utility, …</w:t>
      </w:r>
      <w:r w:rsidR="00C02FF3" w:rsidRPr="0073232F">
        <w:rPr>
          <w:sz w:val="24"/>
          <w:szCs w:val="24"/>
        </w:rPr>
        <w:t xml:space="preserve"> shall fail, omit, neglect or refuse to obey, observe, and comply with any regulation or final direction, requirement, determination, or order </w:t>
      </w:r>
      <w:r w:rsidRPr="0073232F">
        <w:rPr>
          <w:sz w:val="24"/>
          <w:szCs w:val="24"/>
        </w:rPr>
        <w:t xml:space="preserve">made by the Commission, … </w:t>
      </w:r>
      <w:r w:rsidR="00C02FF3" w:rsidRPr="0073232F">
        <w:rPr>
          <w:sz w:val="24"/>
          <w:szCs w:val="24"/>
        </w:rPr>
        <w:t>such public utility person or corporation for such violation, omission, failure, neglect, or refusal shall forfeit and pay to the Commonwealth</w:t>
      </w:r>
      <w:r w:rsidRPr="0073232F">
        <w:rPr>
          <w:sz w:val="24"/>
          <w:szCs w:val="24"/>
        </w:rPr>
        <w:t xml:space="preserve"> a sum not exceeding $1000… ."</w:t>
      </w:r>
    </w:p>
    <w:p w:rsidR="00AC00B1" w:rsidRPr="0073232F" w:rsidRDefault="00AC00B1" w:rsidP="00AC00B1">
      <w:pPr>
        <w:rPr>
          <w:sz w:val="24"/>
          <w:szCs w:val="24"/>
        </w:rPr>
      </w:pPr>
    </w:p>
    <w:p w:rsidR="00E040B3" w:rsidRPr="0073232F" w:rsidRDefault="00AC00B1" w:rsidP="00AC00B1">
      <w:pPr>
        <w:rPr>
          <w:sz w:val="24"/>
          <w:szCs w:val="24"/>
        </w:rPr>
      </w:pPr>
      <w:r w:rsidRPr="0073232F">
        <w:rPr>
          <w:sz w:val="24"/>
          <w:szCs w:val="24"/>
        </w:rPr>
        <w:tab/>
      </w:r>
      <w:r w:rsidR="00C02FF3" w:rsidRPr="0073232F">
        <w:rPr>
          <w:sz w:val="24"/>
          <w:szCs w:val="24"/>
        </w:rPr>
        <w:t xml:space="preserve">To meet these requirements, enclosed you will find a model form of the report you are to file on your own Company letterhead. </w:t>
      </w:r>
      <w:r w:rsidR="009E554F">
        <w:rPr>
          <w:sz w:val="24"/>
          <w:szCs w:val="24"/>
        </w:rPr>
        <w:t xml:space="preserve"> </w:t>
      </w:r>
      <w:r w:rsidR="00C02FF3" w:rsidRPr="0073232F">
        <w:rPr>
          <w:sz w:val="24"/>
          <w:szCs w:val="24"/>
        </w:rPr>
        <w:t xml:space="preserve">Your report should include the </w:t>
      </w:r>
      <w:r w:rsidR="00C02FF3" w:rsidRPr="0073232F">
        <w:rPr>
          <w:b/>
          <w:sz w:val="24"/>
          <w:szCs w:val="24"/>
          <w:u w:val="single"/>
        </w:rPr>
        <w:t>total intrastate revenues</w:t>
      </w:r>
      <w:r w:rsidR="00C02FF3" w:rsidRPr="0073232F">
        <w:rPr>
          <w:sz w:val="24"/>
          <w:szCs w:val="24"/>
        </w:rPr>
        <w:t xml:space="preserve"> generated in Pennsylvania only, broken down into the various service categories as designated in your tariff</w:t>
      </w:r>
      <w:r w:rsidRPr="0073232F">
        <w:rPr>
          <w:sz w:val="24"/>
          <w:szCs w:val="24"/>
        </w:rPr>
        <w:t>(s)</w:t>
      </w:r>
      <w:r w:rsidR="005778DD">
        <w:rPr>
          <w:sz w:val="24"/>
          <w:szCs w:val="24"/>
        </w:rPr>
        <w:t>.</w:t>
      </w:r>
    </w:p>
    <w:p w:rsidR="00AC00B1" w:rsidRPr="0073232F" w:rsidRDefault="00AC00B1" w:rsidP="00AC00B1">
      <w:pPr>
        <w:rPr>
          <w:sz w:val="24"/>
          <w:szCs w:val="24"/>
        </w:rPr>
      </w:pPr>
    </w:p>
    <w:p w:rsidR="00496D25" w:rsidRPr="0073232F" w:rsidRDefault="00AC00B1" w:rsidP="00EB1BA0">
      <w:pPr>
        <w:rPr>
          <w:sz w:val="24"/>
          <w:szCs w:val="24"/>
        </w:rPr>
      </w:pPr>
      <w:r w:rsidRPr="00E212DF">
        <w:rPr>
          <w:sz w:val="24"/>
          <w:szCs w:val="24"/>
        </w:rPr>
        <w:tab/>
      </w:r>
      <w:r w:rsidR="005778DD" w:rsidRPr="00E212DF">
        <w:rPr>
          <w:b/>
          <w:sz w:val="24"/>
          <w:szCs w:val="24"/>
        </w:rPr>
        <w:t xml:space="preserve">Report revenue </w:t>
      </w:r>
      <w:r w:rsidR="00024723" w:rsidRPr="00E212DF">
        <w:rPr>
          <w:b/>
          <w:sz w:val="24"/>
          <w:szCs w:val="24"/>
        </w:rPr>
        <w:t xml:space="preserve">on the appropriate line corresponding to the Pennsylvania service tariffs: </w:t>
      </w:r>
      <w:r w:rsidR="006F73D7" w:rsidRPr="00E212DF">
        <w:rPr>
          <w:b/>
          <w:sz w:val="24"/>
          <w:szCs w:val="24"/>
        </w:rPr>
        <w:t>Interexchange Toll Reseller (IXC), Competitive Access Provider (CAP) and/or Interexchange Toll Facilities-Based Carrier (Toll)</w:t>
      </w:r>
      <w:r w:rsidR="00C02FF3" w:rsidRPr="00E212DF">
        <w:rPr>
          <w:b/>
          <w:sz w:val="24"/>
          <w:szCs w:val="24"/>
        </w:rPr>
        <w:t>.</w:t>
      </w:r>
      <w:r w:rsidR="00E212DF">
        <w:rPr>
          <w:b/>
          <w:color w:val="FF0000"/>
          <w:sz w:val="24"/>
          <w:szCs w:val="24"/>
        </w:rPr>
        <w:t xml:space="preserve"> </w:t>
      </w:r>
      <w:r w:rsidR="00E212DF">
        <w:rPr>
          <w:b/>
          <w:sz w:val="24"/>
          <w:szCs w:val="24"/>
        </w:rPr>
        <w:t>The utility’s gross intrastate operating revenue that is listed on the Annual Assess</w:t>
      </w:r>
      <w:r w:rsidR="0084473E">
        <w:rPr>
          <w:b/>
          <w:sz w:val="24"/>
          <w:szCs w:val="24"/>
        </w:rPr>
        <w:t>ment Report and on the</w:t>
      </w:r>
      <w:r w:rsidR="00E212DF">
        <w:rPr>
          <w:b/>
          <w:sz w:val="24"/>
          <w:szCs w:val="24"/>
        </w:rPr>
        <w:t xml:space="preserve"> Annual</w:t>
      </w:r>
      <w:r w:rsidR="0084473E">
        <w:rPr>
          <w:b/>
          <w:sz w:val="24"/>
          <w:szCs w:val="24"/>
        </w:rPr>
        <w:t xml:space="preserve"> Financial</w:t>
      </w:r>
      <w:r w:rsidR="00E212DF">
        <w:rPr>
          <w:b/>
          <w:sz w:val="24"/>
          <w:szCs w:val="24"/>
        </w:rPr>
        <w:t xml:space="preserve"> Report that is filed with the Pennsylvania Public Utility Commission must be equal to the amount of gross intrastate operating revenue listed on line (a) of the PA USF Development </w:t>
      </w:r>
      <w:r w:rsidR="00E212DF">
        <w:rPr>
          <w:b/>
          <w:sz w:val="24"/>
          <w:szCs w:val="24"/>
        </w:rPr>
        <w:lastRenderedPageBreak/>
        <w:t>of Assessment Data Request Form.</w:t>
      </w:r>
      <w:r w:rsidR="00C02FF3" w:rsidRPr="0073232F">
        <w:rPr>
          <w:sz w:val="24"/>
          <w:szCs w:val="24"/>
        </w:rPr>
        <w:t xml:space="preserve">  One paper copy of </w:t>
      </w:r>
      <w:r w:rsidR="00DB7EAC">
        <w:rPr>
          <w:sz w:val="24"/>
          <w:szCs w:val="24"/>
        </w:rPr>
        <w:t xml:space="preserve">the </w:t>
      </w:r>
      <w:r w:rsidR="0084473E">
        <w:rPr>
          <w:sz w:val="24"/>
          <w:szCs w:val="24"/>
        </w:rPr>
        <w:t>A</w:t>
      </w:r>
      <w:r w:rsidR="00C02FF3" w:rsidRPr="0073232F">
        <w:rPr>
          <w:sz w:val="24"/>
          <w:szCs w:val="24"/>
        </w:rPr>
        <w:t xml:space="preserve">nnual </w:t>
      </w:r>
      <w:r w:rsidR="0084473E">
        <w:rPr>
          <w:sz w:val="24"/>
          <w:szCs w:val="24"/>
        </w:rPr>
        <w:t>R</w:t>
      </w:r>
      <w:r w:rsidR="00C02FF3" w:rsidRPr="0073232F">
        <w:rPr>
          <w:sz w:val="24"/>
          <w:szCs w:val="24"/>
        </w:rPr>
        <w:t xml:space="preserve">eport should be filed </w:t>
      </w:r>
      <w:r w:rsidR="003D5C2F" w:rsidRPr="0073232F">
        <w:rPr>
          <w:sz w:val="24"/>
          <w:szCs w:val="24"/>
        </w:rPr>
        <w:t xml:space="preserve">with </w:t>
      </w:r>
      <w:r w:rsidR="00C02FF3" w:rsidRPr="0073232F">
        <w:rPr>
          <w:sz w:val="24"/>
          <w:szCs w:val="24"/>
        </w:rPr>
        <w:t>the Commission no later than April 30, 20</w:t>
      </w:r>
      <w:r w:rsidR="009E554F">
        <w:rPr>
          <w:sz w:val="24"/>
          <w:szCs w:val="24"/>
        </w:rPr>
        <w:t>1</w:t>
      </w:r>
      <w:r w:rsidR="00BD7E63">
        <w:rPr>
          <w:sz w:val="24"/>
          <w:szCs w:val="24"/>
        </w:rPr>
        <w:t>7</w:t>
      </w:r>
      <w:r w:rsidR="00C02FF3" w:rsidRPr="0073232F">
        <w:rPr>
          <w:sz w:val="24"/>
          <w:szCs w:val="24"/>
        </w:rPr>
        <w:t xml:space="preserve">. </w:t>
      </w:r>
      <w:r w:rsidR="009E554F">
        <w:rPr>
          <w:sz w:val="24"/>
          <w:szCs w:val="24"/>
        </w:rPr>
        <w:t xml:space="preserve"> </w:t>
      </w:r>
      <w:r w:rsidR="00C02FF3" w:rsidRPr="0073232F">
        <w:rPr>
          <w:sz w:val="24"/>
          <w:szCs w:val="24"/>
        </w:rPr>
        <w:t xml:space="preserve">A copy </w:t>
      </w:r>
      <w:r w:rsidR="003D5C2F" w:rsidRPr="0073232F">
        <w:rPr>
          <w:sz w:val="24"/>
          <w:szCs w:val="24"/>
        </w:rPr>
        <w:t xml:space="preserve">of </w:t>
      </w:r>
      <w:r w:rsidR="00887FA9">
        <w:rPr>
          <w:sz w:val="24"/>
          <w:szCs w:val="24"/>
        </w:rPr>
        <w:t>the</w:t>
      </w:r>
      <w:r w:rsidR="003D5C2F" w:rsidRPr="0073232F">
        <w:rPr>
          <w:sz w:val="24"/>
          <w:szCs w:val="24"/>
        </w:rPr>
        <w:t xml:space="preserve"> report </w:t>
      </w:r>
      <w:r w:rsidR="00C02FF3" w:rsidRPr="0073232F">
        <w:rPr>
          <w:sz w:val="24"/>
          <w:szCs w:val="24"/>
        </w:rPr>
        <w:t>is to be retained in your files for reference purposes.  Failure to file the required information in proper and complete form will necessitate filing corrected reports.</w:t>
      </w:r>
      <w:r w:rsidR="00EB1BA0">
        <w:rPr>
          <w:sz w:val="24"/>
          <w:szCs w:val="24"/>
        </w:rPr>
        <w:t xml:space="preserve">  </w:t>
      </w:r>
      <w:r w:rsidR="00C02FF3" w:rsidRPr="0073232F">
        <w:rPr>
          <w:sz w:val="24"/>
          <w:szCs w:val="24"/>
        </w:rPr>
        <w:t>If you have any questions regarding the filing of your annual</w:t>
      </w:r>
      <w:r w:rsidR="00B01117" w:rsidRPr="0073232F">
        <w:rPr>
          <w:sz w:val="24"/>
          <w:szCs w:val="24"/>
        </w:rPr>
        <w:t xml:space="preserve"> financial </w:t>
      </w:r>
      <w:r w:rsidR="00E212DF">
        <w:rPr>
          <w:sz w:val="24"/>
          <w:szCs w:val="24"/>
        </w:rPr>
        <w:t>report, you may contact Richard Layton at 717-214-9117</w:t>
      </w:r>
      <w:r w:rsidR="00C02FF3" w:rsidRPr="0073232F">
        <w:rPr>
          <w:sz w:val="24"/>
          <w:szCs w:val="24"/>
        </w:rPr>
        <w:t xml:space="preserve">. </w:t>
      </w:r>
    </w:p>
    <w:p w:rsidR="00471B71" w:rsidRDefault="00471B71" w:rsidP="00AC00B1">
      <w:pPr>
        <w:rPr>
          <w:b/>
          <w:sz w:val="24"/>
          <w:szCs w:val="24"/>
        </w:rPr>
      </w:pPr>
    </w:p>
    <w:p w:rsidR="0084473E" w:rsidRDefault="0084473E" w:rsidP="00AC00B1">
      <w:pPr>
        <w:rPr>
          <w:b/>
          <w:sz w:val="24"/>
          <w:szCs w:val="24"/>
        </w:rPr>
      </w:pPr>
    </w:p>
    <w:p w:rsidR="0084473E" w:rsidRPr="0073232F" w:rsidRDefault="0084473E" w:rsidP="00AC00B1">
      <w:pPr>
        <w:rPr>
          <w:b/>
          <w:sz w:val="24"/>
          <w:szCs w:val="24"/>
        </w:rPr>
      </w:pPr>
    </w:p>
    <w:p w:rsidR="00C02FF3" w:rsidRDefault="0003085D" w:rsidP="00AC00B1">
      <w:pPr>
        <w:rPr>
          <w:sz w:val="24"/>
          <w:szCs w:val="24"/>
        </w:rPr>
      </w:pPr>
      <w:r w:rsidRPr="0073232F">
        <w:rPr>
          <w:b/>
          <w:sz w:val="24"/>
          <w:szCs w:val="24"/>
        </w:rPr>
        <w:tab/>
      </w:r>
      <w:r w:rsidR="00C02FF3" w:rsidRPr="0073232F">
        <w:rPr>
          <w:sz w:val="24"/>
          <w:szCs w:val="24"/>
        </w:rPr>
        <w:tab/>
      </w:r>
      <w:r w:rsidR="00C02FF3" w:rsidRPr="0073232F">
        <w:rPr>
          <w:sz w:val="24"/>
          <w:szCs w:val="24"/>
        </w:rPr>
        <w:tab/>
      </w:r>
      <w:r w:rsidR="00C02FF3" w:rsidRPr="0073232F">
        <w:rPr>
          <w:sz w:val="24"/>
          <w:szCs w:val="24"/>
        </w:rPr>
        <w:tab/>
      </w:r>
      <w:r w:rsidR="00C02FF3" w:rsidRPr="0073232F">
        <w:rPr>
          <w:sz w:val="24"/>
          <w:szCs w:val="24"/>
        </w:rPr>
        <w:tab/>
      </w:r>
      <w:r w:rsidR="00C02FF3" w:rsidRPr="0073232F">
        <w:rPr>
          <w:sz w:val="24"/>
          <w:szCs w:val="24"/>
        </w:rPr>
        <w:tab/>
      </w:r>
      <w:r w:rsidR="00C02FF3" w:rsidRPr="0073232F">
        <w:rPr>
          <w:sz w:val="24"/>
          <w:szCs w:val="24"/>
        </w:rPr>
        <w:tab/>
      </w:r>
      <w:r w:rsidR="00C02FF3" w:rsidRPr="0073232F">
        <w:rPr>
          <w:sz w:val="24"/>
          <w:szCs w:val="24"/>
        </w:rPr>
        <w:tab/>
        <w:t>Very truly yours,</w:t>
      </w:r>
    </w:p>
    <w:p w:rsidR="00AC00B1" w:rsidRPr="0073232F" w:rsidRDefault="0084473E" w:rsidP="00AC00B1">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noProof/>
        </w:rPr>
        <w:drawing>
          <wp:inline distT="0" distB="0" distL="0" distR="0" wp14:anchorId="6D8D40EF" wp14:editId="5F00F228">
            <wp:extent cx="1661160" cy="563880"/>
            <wp:effectExtent l="0" t="0" r="0" b="7620"/>
            <wp:docPr id="3" name="Picture 3" descr="cid:image001.jpg@01CF0D31.F6805D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F0D31.F6805D8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661160" cy="563880"/>
                    </a:xfrm>
                    <a:prstGeom prst="rect">
                      <a:avLst/>
                    </a:prstGeom>
                    <a:noFill/>
                    <a:ln>
                      <a:noFill/>
                    </a:ln>
                  </pic:spPr>
                </pic:pic>
              </a:graphicData>
            </a:graphic>
          </wp:inline>
        </w:drawing>
      </w:r>
    </w:p>
    <w:p w:rsidR="00C02FF3" w:rsidRPr="0073232F" w:rsidRDefault="00C02FF3" w:rsidP="00AC00B1">
      <w:pPr>
        <w:rPr>
          <w:sz w:val="24"/>
          <w:szCs w:val="24"/>
        </w:rPr>
      </w:pPr>
      <w:r w:rsidRPr="0073232F">
        <w:rPr>
          <w:sz w:val="24"/>
          <w:szCs w:val="24"/>
        </w:rPr>
        <w:tab/>
      </w:r>
      <w:r w:rsidRPr="0073232F">
        <w:rPr>
          <w:sz w:val="24"/>
          <w:szCs w:val="24"/>
        </w:rPr>
        <w:tab/>
      </w:r>
      <w:r w:rsidRPr="0073232F">
        <w:rPr>
          <w:sz w:val="24"/>
          <w:szCs w:val="24"/>
        </w:rPr>
        <w:tab/>
      </w:r>
      <w:r w:rsidRPr="0073232F">
        <w:rPr>
          <w:sz w:val="24"/>
          <w:szCs w:val="24"/>
        </w:rPr>
        <w:tab/>
      </w:r>
      <w:r w:rsidRPr="0073232F">
        <w:rPr>
          <w:sz w:val="24"/>
          <w:szCs w:val="24"/>
        </w:rPr>
        <w:tab/>
      </w:r>
      <w:r w:rsidRPr="0073232F">
        <w:rPr>
          <w:sz w:val="24"/>
          <w:szCs w:val="24"/>
        </w:rPr>
        <w:tab/>
      </w:r>
      <w:r w:rsidRPr="0073232F">
        <w:rPr>
          <w:sz w:val="24"/>
          <w:szCs w:val="24"/>
        </w:rPr>
        <w:tab/>
      </w:r>
      <w:r w:rsidR="00496D25" w:rsidRPr="0073232F">
        <w:rPr>
          <w:sz w:val="24"/>
          <w:szCs w:val="24"/>
        </w:rPr>
        <w:tab/>
      </w:r>
      <w:r w:rsidR="00D060A1">
        <w:rPr>
          <w:sz w:val="24"/>
          <w:szCs w:val="24"/>
        </w:rPr>
        <w:t>Rosemary Chiavetta</w:t>
      </w:r>
    </w:p>
    <w:p w:rsidR="00C02FF3" w:rsidRDefault="00C02FF3" w:rsidP="00AC00B1">
      <w:pPr>
        <w:rPr>
          <w:sz w:val="24"/>
          <w:szCs w:val="24"/>
        </w:rPr>
      </w:pPr>
      <w:r w:rsidRPr="0073232F">
        <w:rPr>
          <w:sz w:val="24"/>
          <w:szCs w:val="24"/>
        </w:rPr>
        <w:tab/>
      </w:r>
      <w:r w:rsidRPr="0073232F">
        <w:rPr>
          <w:sz w:val="24"/>
          <w:szCs w:val="24"/>
        </w:rPr>
        <w:tab/>
      </w:r>
      <w:r w:rsidRPr="0073232F">
        <w:rPr>
          <w:sz w:val="24"/>
          <w:szCs w:val="24"/>
        </w:rPr>
        <w:tab/>
      </w:r>
      <w:r w:rsidRPr="0073232F">
        <w:rPr>
          <w:sz w:val="24"/>
          <w:szCs w:val="24"/>
        </w:rPr>
        <w:tab/>
      </w:r>
      <w:r w:rsidRPr="0073232F">
        <w:rPr>
          <w:sz w:val="24"/>
          <w:szCs w:val="24"/>
        </w:rPr>
        <w:tab/>
      </w:r>
      <w:r w:rsidRPr="0073232F">
        <w:rPr>
          <w:sz w:val="24"/>
          <w:szCs w:val="24"/>
        </w:rPr>
        <w:tab/>
      </w:r>
      <w:r w:rsidRPr="0073232F">
        <w:rPr>
          <w:sz w:val="24"/>
          <w:szCs w:val="24"/>
        </w:rPr>
        <w:tab/>
      </w:r>
      <w:r w:rsidR="00496D25" w:rsidRPr="0073232F">
        <w:rPr>
          <w:sz w:val="24"/>
          <w:szCs w:val="24"/>
        </w:rPr>
        <w:tab/>
      </w:r>
      <w:r w:rsidRPr="0073232F">
        <w:rPr>
          <w:sz w:val="24"/>
          <w:szCs w:val="24"/>
        </w:rPr>
        <w:t>Secretary</w:t>
      </w:r>
    </w:p>
    <w:p w:rsidR="0073232F" w:rsidRDefault="0073232F" w:rsidP="00AC00B1">
      <w:pPr>
        <w:rPr>
          <w:sz w:val="24"/>
          <w:szCs w:val="24"/>
        </w:rPr>
      </w:pPr>
    </w:p>
    <w:p w:rsidR="0073232F" w:rsidRDefault="0073232F" w:rsidP="00AC00B1">
      <w:pPr>
        <w:rPr>
          <w:sz w:val="24"/>
          <w:szCs w:val="24"/>
        </w:rPr>
      </w:pPr>
    </w:p>
    <w:p w:rsidR="00C02FF3" w:rsidRDefault="00AC00B1" w:rsidP="00C02FF3">
      <w:pPr>
        <w:rPr>
          <w:sz w:val="24"/>
        </w:rPr>
      </w:pPr>
      <w:r>
        <w:rPr>
          <w:sz w:val="24"/>
        </w:rPr>
        <w:br w:type="page"/>
      </w:r>
    </w:p>
    <w:p w:rsidR="00B01117" w:rsidRPr="00260BA4" w:rsidRDefault="00B01117" w:rsidP="00B01117">
      <w:pPr>
        <w:pStyle w:val="Title"/>
      </w:pPr>
      <w:r w:rsidRPr="00260BA4">
        <w:lastRenderedPageBreak/>
        <w:t>YOUR COMPANY LETTERHEAD</w:t>
      </w:r>
    </w:p>
    <w:p w:rsidR="00B01117" w:rsidRPr="00260BA4" w:rsidRDefault="00B01117" w:rsidP="00B01117">
      <w:pPr>
        <w:jc w:val="center"/>
        <w:rPr>
          <w:b/>
          <w:sz w:val="24"/>
        </w:rPr>
      </w:pPr>
      <w:r w:rsidRPr="00260BA4">
        <w:rPr>
          <w:b/>
          <w:sz w:val="24"/>
        </w:rPr>
        <w:t>(Date)</w:t>
      </w:r>
    </w:p>
    <w:p w:rsidR="00B01117" w:rsidRPr="00260BA4" w:rsidRDefault="00B01117" w:rsidP="00B01117">
      <w:pPr>
        <w:jc w:val="center"/>
        <w:rPr>
          <w:b/>
          <w:sz w:val="24"/>
        </w:rPr>
      </w:pPr>
    </w:p>
    <w:p w:rsidR="00260BA4" w:rsidRPr="00260BA4" w:rsidRDefault="00260BA4" w:rsidP="00260BA4">
      <w:pPr>
        <w:jc w:val="center"/>
        <w:rPr>
          <w:b/>
          <w:sz w:val="40"/>
          <w:szCs w:val="40"/>
        </w:rPr>
      </w:pPr>
      <w:r w:rsidRPr="00260BA4">
        <w:rPr>
          <w:b/>
          <w:sz w:val="40"/>
          <w:szCs w:val="40"/>
        </w:rPr>
        <w:t>Re:  ANNUAL REPORT</w:t>
      </w:r>
      <w:r w:rsidRPr="00260BA4">
        <w:rPr>
          <w:b/>
          <w:sz w:val="40"/>
          <w:szCs w:val="40"/>
        </w:rPr>
        <w:tab/>
      </w:r>
      <w:r w:rsidRPr="00260BA4">
        <w:rPr>
          <w:b/>
          <w:sz w:val="40"/>
          <w:szCs w:val="40"/>
        </w:rPr>
        <w:tab/>
      </w:r>
      <w:proofErr w:type="gramStart"/>
      <w:r w:rsidRPr="00260BA4">
        <w:rPr>
          <w:b/>
          <w:sz w:val="40"/>
          <w:szCs w:val="40"/>
        </w:rPr>
        <w:t>For</w:t>
      </w:r>
      <w:proofErr w:type="gramEnd"/>
      <w:r w:rsidRPr="00260BA4">
        <w:rPr>
          <w:b/>
          <w:sz w:val="40"/>
          <w:szCs w:val="40"/>
        </w:rPr>
        <w:t xml:space="preserve"> Year Ended:  </w:t>
      </w:r>
      <w:r w:rsidR="00065593" w:rsidRPr="00065593">
        <w:rPr>
          <w:b/>
          <w:sz w:val="40"/>
          <w:szCs w:val="40"/>
          <w:u w:val="single"/>
        </w:rPr>
        <w:t>201</w:t>
      </w:r>
      <w:r w:rsidR="00BD7E63">
        <w:rPr>
          <w:b/>
          <w:sz w:val="40"/>
          <w:szCs w:val="40"/>
          <w:u w:val="single"/>
        </w:rPr>
        <w:t>6</w:t>
      </w:r>
    </w:p>
    <w:p w:rsidR="00B01117" w:rsidRPr="00260BA4" w:rsidRDefault="00B01117" w:rsidP="00B01117">
      <w:pPr>
        <w:jc w:val="center"/>
        <w:rPr>
          <w:b/>
          <w:sz w:val="24"/>
        </w:rPr>
      </w:pPr>
    </w:p>
    <w:p w:rsidR="00B01117" w:rsidRPr="00260BA4" w:rsidRDefault="00B01117" w:rsidP="00B01117">
      <w:pPr>
        <w:jc w:val="center"/>
        <w:rPr>
          <w:b/>
          <w:sz w:val="24"/>
        </w:rPr>
      </w:pPr>
    </w:p>
    <w:p w:rsidR="00B01117" w:rsidRPr="00260BA4" w:rsidRDefault="00B01117" w:rsidP="00065593">
      <w:pPr>
        <w:jc w:val="center"/>
        <w:rPr>
          <w:b/>
          <w:sz w:val="24"/>
        </w:rPr>
      </w:pPr>
    </w:p>
    <w:p w:rsidR="00B01117" w:rsidRPr="00260BA4" w:rsidRDefault="00B01117" w:rsidP="00B01117">
      <w:pPr>
        <w:rPr>
          <w:b/>
          <w:sz w:val="24"/>
        </w:rPr>
      </w:pPr>
    </w:p>
    <w:p w:rsidR="00B01117" w:rsidRDefault="00B01117" w:rsidP="00B01117">
      <w:pPr>
        <w:pStyle w:val="Heading1"/>
        <w:rPr>
          <w:b/>
        </w:rPr>
      </w:pPr>
      <w:r w:rsidRPr="00260BA4">
        <w:rPr>
          <w:b/>
        </w:rPr>
        <w:t>Pennsylvania Public Utility Commission</w:t>
      </w:r>
    </w:p>
    <w:p w:rsidR="00BD7E63" w:rsidRPr="00BD7E63" w:rsidRDefault="00BD7E63" w:rsidP="00BD7E63">
      <w:pPr>
        <w:rPr>
          <w:b/>
        </w:rPr>
      </w:pPr>
      <w:r w:rsidRPr="00BD7E63">
        <w:rPr>
          <w:b/>
          <w:sz w:val="24"/>
        </w:rPr>
        <w:t>Commonwealth Keystone Building</w:t>
      </w:r>
    </w:p>
    <w:p w:rsidR="00B01117" w:rsidRPr="00260BA4" w:rsidRDefault="00BD7E63" w:rsidP="00B01117">
      <w:pPr>
        <w:rPr>
          <w:b/>
          <w:sz w:val="24"/>
        </w:rPr>
      </w:pPr>
      <w:r>
        <w:rPr>
          <w:b/>
          <w:sz w:val="24"/>
        </w:rPr>
        <w:t>400 North Street</w:t>
      </w:r>
    </w:p>
    <w:p w:rsidR="00B01117" w:rsidRPr="00260BA4" w:rsidRDefault="00B01117" w:rsidP="00B01117">
      <w:pPr>
        <w:pStyle w:val="Heading1"/>
        <w:rPr>
          <w:b/>
        </w:rPr>
      </w:pPr>
      <w:r w:rsidRPr="00260BA4">
        <w:rPr>
          <w:b/>
        </w:rPr>
        <w:t>Harrisburg, PA 171</w:t>
      </w:r>
      <w:r w:rsidR="00BD7E63">
        <w:rPr>
          <w:b/>
        </w:rPr>
        <w:t>20</w:t>
      </w:r>
    </w:p>
    <w:p w:rsidR="00B01117" w:rsidRPr="00260BA4" w:rsidRDefault="00B01117" w:rsidP="00B01117">
      <w:pPr>
        <w:rPr>
          <w:b/>
          <w:sz w:val="24"/>
        </w:rPr>
      </w:pPr>
    </w:p>
    <w:p w:rsidR="00B01117" w:rsidRPr="00260BA4" w:rsidRDefault="00B01117" w:rsidP="00B01117">
      <w:pPr>
        <w:rPr>
          <w:b/>
          <w:sz w:val="24"/>
        </w:rPr>
      </w:pPr>
    </w:p>
    <w:p w:rsidR="00B01117" w:rsidRPr="00260BA4" w:rsidRDefault="00B01117" w:rsidP="00B01117">
      <w:pPr>
        <w:rPr>
          <w:b/>
          <w:sz w:val="24"/>
        </w:rPr>
      </w:pPr>
    </w:p>
    <w:p w:rsidR="00B01117" w:rsidRPr="00260BA4" w:rsidRDefault="008C75A2" w:rsidP="00CE0753">
      <w:pPr>
        <w:rPr>
          <w:b/>
          <w:sz w:val="24"/>
        </w:rPr>
      </w:pPr>
      <w:r>
        <w:rPr>
          <w:b/>
          <w:sz w:val="24"/>
        </w:rPr>
        <w:tab/>
      </w:r>
      <w:r>
        <w:rPr>
          <w:b/>
          <w:sz w:val="24"/>
        </w:rPr>
        <w:tab/>
      </w:r>
    </w:p>
    <w:tbl>
      <w:tblPr>
        <w:tblStyle w:val="TableGrid"/>
        <w:tblW w:w="9504" w:type="dxa"/>
        <w:tblLook w:val="04A0" w:firstRow="1" w:lastRow="0" w:firstColumn="1" w:lastColumn="0" w:noHBand="0" w:noVBand="1"/>
      </w:tblPr>
      <w:tblGrid>
        <w:gridCol w:w="5040"/>
        <w:gridCol w:w="4464"/>
      </w:tblGrid>
      <w:tr w:rsidR="002B06CC" w:rsidRPr="00932276" w:rsidTr="002B06CC">
        <w:trPr>
          <w:trHeight w:val="432"/>
        </w:trPr>
        <w:tc>
          <w:tcPr>
            <w:tcW w:w="5040" w:type="dxa"/>
            <w:noWrap/>
            <w:vAlign w:val="center"/>
            <w:hideMark/>
          </w:tcPr>
          <w:p w:rsidR="002B06CC" w:rsidRPr="00CE0753" w:rsidRDefault="002B06CC" w:rsidP="008C75A2">
            <w:pPr>
              <w:rPr>
                <w:sz w:val="24"/>
              </w:rPr>
            </w:pPr>
            <w:r>
              <w:rPr>
                <w:b/>
                <w:sz w:val="24"/>
              </w:rPr>
              <w:t>Type of Service</w:t>
            </w:r>
          </w:p>
        </w:tc>
        <w:tc>
          <w:tcPr>
            <w:tcW w:w="4464" w:type="dxa"/>
            <w:vAlign w:val="center"/>
          </w:tcPr>
          <w:p w:rsidR="002B06CC" w:rsidRPr="00932276" w:rsidRDefault="002B06CC" w:rsidP="00771D60">
            <w:pPr>
              <w:jc w:val="center"/>
              <w:rPr>
                <w:b/>
                <w:sz w:val="24"/>
              </w:rPr>
            </w:pPr>
            <w:r w:rsidRPr="00771D60">
              <w:rPr>
                <w:b/>
                <w:sz w:val="24"/>
              </w:rPr>
              <w:t>Intrastate Gross Revenue</w:t>
            </w:r>
          </w:p>
        </w:tc>
      </w:tr>
      <w:tr w:rsidR="002B06CC" w:rsidRPr="00932276" w:rsidTr="002B06CC">
        <w:trPr>
          <w:trHeight w:val="432"/>
        </w:trPr>
        <w:tc>
          <w:tcPr>
            <w:tcW w:w="5040" w:type="dxa"/>
            <w:noWrap/>
            <w:vAlign w:val="center"/>
            <w:hideMark/>
          </w:tcPr>
          <w:p w:rsidR="002B06CC" w:rsidRPr="00CE0753" w:rsidRDefault="002B06CC" w:rsidP="008C75A2">
            <w:pPr>
              <w:rPr>
                <w:sz w:val="24"/>
              </w:rPr>
            </w:pPr>
            <w:r w:rsidRPr="00CE0753">
              <w:rPr>
                <w:sz w:val="24"/>
              </w:rPr>
              <w:t>Interexchange Toll Facilities-Based Carrier (Toll)</w:t>
            </w:r>
          </w:p>
        </w:tc>
        <w:tc>
          <w:tcPr>
            <w:tcW w:w="4464" w:type="dxa"/>
            <w:vAlign w:val="center"/>
          </w:tcPr>
          <w:p w:rsidR="002B06CC" w:rsidRPr="0084473E" w:rsidRDefault="002B06CC" w:rsidP="008C75A2">
            <w:pPr>
              <w:rPr>
                <w:sz w:val="24"/>
              </w:rPr>
            </w:pPr>
          </w:p>
        </w:tc>
      </w:tr>
      <w:tr w:rsidR="002B06CC" w:rsidRPr="00932276" w:rsidTr="002B06CC">
        <w:trPr>
          <w:trHeight w:val="432"/>
        </w:trPr>
        <w:tc>
          <w:tcPr>
            <w:tcW w:w="5040" w:type="dxa"/>
            <w:noWrap/>
            <w:vAlign w:val="center"/>
            <w:hideMark/>
          </w:tcPr>
          <w:p w:rsidR="002B06CC" w:rsidRPr="00CE0753" w:rsidRDefault="002B06CC" w:rsidP="008C75A2">
            <w:pPr>
              <w:rPr>
                <w:sz w:val="24"/>
              </w:rPr>
            </w:pPr>
            <w:r w:rsidRPr="00CE0753">
              <w:rPr>
                <w:sz w:val="24"/>
              </w:rPr>
              <w:t xml:space="preserve">Competitive Access Provider (CAP) </w:t>
            </w:r>
          </w:p>
        </w:tc>
        <w:tc>
          <w:tcPr>
            <w:tcW w:w="4464" w:type="dxa"/>
            <w:vAlign w:val="center"/>
          </w:tcPr>
          <w:p w:rsidR="002B06CC" w:rsidRPr="0084473E" w:rsidRDefault="002B06CC" w:rsidP="008C75A2">
            <w:pPr>
              <w:rPr>
                <w:sz w:val="24"/>
              </w:rPr>
            </w:pPr>
          </w:p>
        </w:tc>
      </w:tr>
      <w:tr w:rsidR="002B06CC" w:rsidRPr="00932276" w:rsidTr="002B06CC">
        <w:trPr>
          <w:trHeight w:val="432"/>
        </w:trPr>
        <w:tc>
          <w:tcPr>
            <w:tcW w:w="5040" w:type="dxa"/>
            <w:noWrap/>
            <w:vAlign w:val="center"/>
            <w:hideMark/>
          </w:tcPr>
          <w:p w:rsidR="002B06CC" w:rsidRPr="00CE0753" w:rsidRDefault="002B06CC" w:rsidP="008C75A2">
            <w:pPr>
              <w:rPr>
                <w:sz w:val="24"/>
              </w:rPr>
            </w:pPr>
            <w:r w:rsidRPr="00CE0753">
              <w:rPr>
                <w:sz w:val="24"/>
              </w:rPr>
              <w:t xml:space="preserve">Interexchange Toll Reseller (IXC) </w:t>
            </w:r>
          </w:p>
        </w:tc>
        <w:tc>
          <w:tcPr>
            <w:tcW w:w="4464" w:type="dxa"/>
            <w:vAlign w:val="center"/>
          </w:tcPr>
          <w:p w:rsidR="002B06CC" w:rsidRPr="0084473E" w:rsidRDefault="002B06CC" w:rsidP="008C75A2">
            <w:pPr>
              <w:rPr>
                <w:sz w:val="24"/>
              </w:rPr>
            </w:pPr>
          </w:p>
        </w:tc>
      </w:tr>
      <w:tr w:rsidR="002B06CC" w:rsidRPr="00932276" w:rsidTr="002B06CC">
        <w:trPr>
          <w:trHeight w:hRule="exact" w:val="20"/>
        </w:trPr>
        <w:tc>
          <w:tcPr>
            <w:tcW w:w="5040" w:type="dxa"/>
            <w:noWrap/>
            <w:vAlign w:val="center"/>
            <w:hideMark/>
          </w:tcPr>
          <w:p w:rsidR="002B06CC" w:rsidRPr="00CE0753" w:rsidRDefault="002B06CC" w:rsidP="008C75A2">
            <w:pPr>
              <w:rPr>
                <w:sz w:val="24"/>
              </w:rPr>
            </w:pPr>
          </w:p>
        </w:tc>
        <w:tc>
          <w:tcPr>
            <w:tcW w:w="4464" w:type="dxa"/>
            <w:vAlign w:val="center"/>
          </w:tcPr>
          <w:p w:rsidR="002B06CC" w:rsidRPr="00932276" w:rsidRDefault="002B06CC" w:rsidP="008C75A2">
            <w:pPr>
              <w:rPr>
                <w:b/>
                <w:sz w:val="24"/>
              </w:rPr>
            </w:pPr>
          </w:p>
        </w:tc>
      </w:tr>
      <w:tr w:rsidR="002B06CC" w:rsidRPr="00932276" w:rsidTr="002B06CC">
        <w:trPr>
          <w:trHeight w:val="432"/>
        </w:trPr>
        <w:tc>
          <w:tcPr>
            <w:tcW w:w="5040" w:type="dxa"/>
            <w:noWrap/>
            <w:vAlign w:val="center"/>
            <w:hideMark/>
          </w:tcPr>
          <w:p w:rsidR="002B06CC" w:rsidRPr="00932276" w:rsidRDefault="002B06CC" w:rsidP="00BB18C5">
            <w:pPr>
              <w:rPr>
                <w:b/>
                <w:sz w:val="24"/>
              </w:rPr>
            </w:pPr>
            <w:r>
              <w:rPr>
                <w:b/>
                <w:sz w:val="24"/>
              </w:rPr>
              <w:t>Total</w:t>
            </w:r>
            <w:r w:rsidR="00694A0C">
              <w:rPr>
                <w:b/>
                <w:sz w:val="24"/>
              </w:rPr>
              <w:t xml:space="preserve"> Intrastate </w:t>
            </w:r>
            <w:r w:rsidR="00382717">
              <w:rPr>
                <w:b/>
                <w:sz w:val="24"/>
              </w:rPr>
              <w:t xml:space="preserve">Gross </w:t>
            </w:r>
            <w:r w:rsidR="00694A0C">
              <w:rPr>
                <w:b/>
                <w:sz w:val="24"/>
              </w:rPr>
              <w:t>Revenue</w:t>
            </w:r>
            <w:r w:rsidR="005321B2">
              <w:rPr>
                <w:rStyle w:val="FootnoteReference"/>
                <w:b/>
                <w:sz w:val="24"/>
              </w:rPr>
              <w:footnoteReference w:id="1"/>
            </w:r>
          </w:p>
        </w:tc>
        <w:tc>
          <w:tcPr>
            <w:tcW w:w="4464" w:type="dxa"/>
            <w:vAlign w:val="center"/>
          </w:tcPr>
          <w:p w:rsidR="002B06CC" w:rsidRPr="00932276" w:rsidRDefault="002B06CC" w:rsidP="008C75A2">
            <w:pPr>
              <w:rPr>
                <w:b/>
                <w:sz w:val="24"/>
              </w:rPr>
            </w:pPr>
          </w:p>
        </w:tc>
      </w:tr>
    </w:tbl>
    <w:p w:rsidR="00B01117" w:rsidRPr="00260BA4" w:rsidRDefault="00B01117" w:rsidP="00B01117">
      <w:pPr>
        <w:rPr>
          <w:b/>
          <w:sz w:val="24"/>
        </w:rPr>
      </w:pPr>
    </w:p>
    <w:p w:rsidR="00B01117" w:rsidRPr="00260BA4" w:rsidRDefault="00B01117" w:rsidP="00B01117">
      <w:pPr>
        <w:rPr>
          <w:b/>
          <w:sz w:val="24"/>
        </w:rPr>
      </w:pPr>
    </w:p>
    <w:p w:rsidR="00B01117" w:rsidRPr="00260BA4" w:rsidRDefault="00B01117" w:rsidP="00B01117">
      <w:pPr>
        <w:rPr>
          <w:b/>
          <w:sz w:val="24"/>
        </w:rPr>
      </w:pPr>
    </w:p>
    <w:p w:rsidR="00B01117" w:rsidRPr="00260BA4" w:rsidRDefault="00B01117" w:rsidP="00B01117">
      <w:pPr>
        <w:rPr>
          <w:b/>
          <w:sz w:val="24"/>
        </w:rPr>
      </w:pPr>
    </w:p>
    <w:p w:rsidR="00B01117" w:rsidRPr="00260BA4" w:rsidRDefault="00B01117" w:rsidP="00B01117">
      <w:pPr>
        <w:rPr>
          <w:b/>
          <w:sz w:val="24"/>
        </w:rPr>
      </w:pPr>
      <w:r w:rsidRPr="00260BA4">
        <w:rPr>
          <w:b/>
          <w:sz w:val="24"/>
        </w:rPr>
        <w:t>Contact regarding this report:</w:t>
      </w:r>
    </w:p>
    <w:p w:rsidR="00B01117" w:rsidRPr="00260BA4" w:rsidRDefault="00B01117" w:rsidP="00B01117">
      <w:pPr>
        <w:rPr>
          <w:b/>
          <w:sz w:val="24"/>
        </w:rPr>
      </w:pPr>
    </w:p>
    <w:p w:rsidR="00B01117" w:rsidRPr="00260BA4" w:rsidRDefault="00B01117" w:rsidP="00B01117">
      <w:pPr>
        <w:rPr>
          <w:b/>
          <w:sz w:val="24"/>
        </w:rPr>
      </w:pPr>
      <w:r w:rsidRPr="00260BA4">
        <w:rPr>
          <w:b/>
          <w:sz w:val="24"/>
        </w:rPr>
        <w:t>Name</w:t>
      </w:r>
    </w:p>
    <w:p w:rsidR="00B01117" w:rsidRPr="00260BA4" w:rsidRDefault="00B01117" w:rsidP="00B01117">
      <w:pPr>
        <w:rPr>
          <w:b/>
          <w:sz w:val="24"/>
        </w:rPr>
      </w:pPr>
      <w:r w:rsidRPr="00260BA4">
        <w:rPr>
          <w:b/>
          <w:sz w:val="24"/>
        </w:rPr>
        <w:t>Address</w:t>
      </w:r>
    </w:p>
    <w:p w:rsidR="009E554F" w:rsidRPr="00260BA4" w:rsidRDefault="00B01117" w:rsidP="009E554F">
      <w:pPr>
        <w:pStyle w:val="Heading1"/>
        <w:rPr>
          <w:b/>
        </w:rPr>
      </w:pPr>
      <w:r w:rsidRPr="00260BA4">
        <w:rPr>
          <w:b/>
        </w:rPr>
        <w:t xml:space="preserve">City, </w:t>
      </w:r>
      <w:proofErr w:type="gramStart"/>
      <w:r w:rsidRPr="00260BA4">
        <w:rPr>
          <w:b/>
        </w:rPr>
        <w:t>State</w:t>
      </w:r>
      <w:r w:rsidR="009E554F" w:rsidRPr="00260BA4">
        <w:rPr>
          <w:b/>
        </w:rPr>
        <w:t xml:space="preserve"> </w:t>
      </w:r>
      <w:r w:rsidRPr="00260BA4">
        <w:rPr>
          <w:b/>
        </w:rPr>
        <w:t xml:space="preserve"> Zip</w:t>
      </w:r>
      <w:proofErr w:type="gramEnd"/>
    </w:p>
    <w:p w:rsidR="009E554F" w:rsidRPr="00260BA4" w:rsidRDefault="009E554F" w:rsidP="009E554F">
      <w:pPr>
        <w:pStyle w:val="Heading1"/>
        <w:rPr>
          <w:b/>
          <w:szCs w:val="24"/>
        </w:rPr>
      </w:pPr>
    </w:p>
    <w:p w:rsidR="00B01117" w:rsidRPr="00260BA4" w:rsidRDefault="00B01117" w:rsidP="009E554F">
      <w:pPr>
        <w:pStyle w:val="Heading1"/>
        <w:rPr>
          <w:b/>
          <w:szCs w:val="24"/>
        </w:rPr>
      </w:pPr>
      <w:r w:rsidRPr="00260BA4">
        <w:rPr>
          <w:b/>
          <w:szCs w:val="24"/>
        </w:rPr>
        <w:t>Telephone number</w:t>
      </w:r>
      <w:r w:rsidR="009E554F" w:rsidRPr="00260BA4">
        <w:rPr>
          <w:b/>
          <w:szCs w:val="24"/>
        </w:rPr>
        <w:t>:</w:t>
      </w:r>
    </w:p>
    <w:p w:rsidR="00B01117" w:rsidRPr="00260BA4" w:rsidRDefault="00B01117" w:rsidP="00B01117">
      <w:pPr>
        <w:rPr>
          <w:b/>
          <w:sz w:val="24"/>
        </w:rPr>
      </w:pPr>
      <w:r w:rsidRPr="00260BA4">
        <w:rPr>
          <w:b/>
          <w:sz w:val="24"/>
        </w:rPr>
        <w:t>Fax number</w:t>
      </w:r>
      <w:r w:rsidR="009E554F" w:rsidRPr="00260BA4">
        <w:rPr>
          <w:b/>
          <w:sz w:val="24"/>
        </w:rPr>
        <w:t>:</w:t>
      </w:r>
    </w:p>
    <w:p w:rsidR="00B01117" w:rsidRPr="00260BA4" w:rsidRDefault="00B01117" w:rsidP="00B01117">
      <w:pPr>
        <w:rPr>
          <w:b/>
          <w:sz w:val="24"/>
        </w:rPr>
      </w:pPr>
      <w:proofErr w:type="gramStart"/>
      <w:r w:rsidRPr="00260BA4">
        <w:rPr>
          <w:b/>
          <w:sz w:val="24"/>
        </w:rPr>
        <w:t>e-mail</w:t>
      </w:r>
      <w:proofErr w:type="gramEnd"/>
      <w:r w:rsidRPr="00260BA4">
        <w:rPr>
          <w:b/>
          <w:sz w:val="24"/>
        </w:rPr>
        <w:t xml:space="preserve"> address</w:t>
      </w:r>
      <w:r w:rsidR="009E554F" w:rsidRPr="00260BA4">
        <w:rPr>
          <w:b/>
          <w:sz w:val="24"/>
        </w:rPr>
        <w:t>:</w:t>
      </w:r>
    </w:p>
    <w:p w:rsidR="00B01117" w:rsidRPr="00260BA4" w:rsidRDefault="00B01117" w:rsidP="00B01117">
      <w:pPr>
        <w:rPr>
          <w:b/>
          <w:sz w:val="24"/>
        </w:rPr>
      </w:pPr>
      <w:r w:rsidRPr="00260BA4">
        <w:rPr>
          <w:b/>
          <w:sz w:val="24"/>
        </w:rPr>
        <w:t>Webpage address</w:t>
      </w:r>
      <w:r w:rsidR="009E554F" w:rsidRPr="00260BA4">
        <w:rPr>
          <w:b/>
          <w:sz w:val="24"/>
        </w:rPr>
        <w:t>:</w:t>
      </w:r>
    </w:p>
    <w:p w:rsidR="00B01117" w:rsidRPr="00260BA4" w:rsidRDefault="00B01117" w:rsidP="00B01117">
      <w:pPr>
        <w:rPr>
          <w:b/>
          <w:sz w:val="24"/>
        </w:rPr>
      </w:pPr>
    </w:p>
    <w:p w:rsidR="00C74A51" w:rsidRPr="00260BA4" w:rsidRDefault="00C74A51" w:rsidP="00C02FF3">
      <w:pPr>
        <w:rPr>
          <w:b/>
        </w:rPr>
      </w:pPr>
    </w:p>
    <w:sectPr w:rsidR="00C74A51" w:rsidRPr="00260BA4" w:rsidSect="007F4E80">
      <w:type w:val="continuous"/>
      <w:pgSz w:w="12240" w:h="15840"/>
      <w:pgMar w:top="99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7B1" w:rsidRDefault="00F417B1">
      <w:r>
        <w:separator/>
      </w:r>
    </w:p>
  </w:endnote>
  <w:endnote w:type="continuationSeparator" w:id="0">
    <w:p w:rsidR="00F417B1" w:rsidRDefault="00F41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7B1" w:rsidRDefault="00F417B1">
      <w:r>
        <w:separator/>
      </w:r>
    </w:p>
  </w:footnote>
  <w:footnote w:type="continuationSeparator" w:id="0">
    <w:p w:rsidR="00F417B1" w:rsidRDefault="00F417B1">
      <w:r>
        <w:continuationSeparator/>
      </w:r>
    </w:p>
  </w:footnote>
  <w:footnote w:id="1">
    <w:p w:rsidR="005321B2" w:rsidRDefault="005321B2">
      <w:pPr>
        <w:pStyle w:val="FootnoteText"/>
      </w:pPr>
      <w:r>
        <w:rPr>
          <w:rStyle w:val="FootnoteReference"/>
        </w:rPr>
        <w:footnoteRef/>
      </w:r>
      <w:r>
        <w:t xml:space="preserve"> </w:t>
      </w:r>
      <w:r w:rsidRPr="005321B2">
        <w:t xml:space="preserve">This line </w:t>
      </w:r>
      <w:r w:rsidR="0084473E">
        <w:t>- Total Intrastate Gross</w:t>
      </w:r>
      <w:r w:rsidRPr="005321B2">
        <w:t xml:space="preserve"> Revenue - is to be reported in</w:t>
      </w:r>
      <w:r w:rsidR="00065593">
        <w:t>, and should match up with,</w:t>
      </w:r>
      <w:r w:rsidRPr="005321B2">
        <w:t xml:space="preserve"> Section 2</w:t>
      </w:r>
      <w:r>
        <w:t xml:space="preserve"> </w:t>
      </w:r>
      <w:r w:rsidRPr="005321B2">
        <w:t>of the Revised Annual Assessment Report (Form GAO-</w:t>
      </w:r>
      <w:r w:rsidR="00BD7E63">
        <w:t>16</w:t>
      </w:r>
      <w:r w:rsidR="00E212DF">
        <w:t>) and on line (a) of the PA USF Development of Assessment Data Request Form.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A51"/>
    <w:rsid w:val="00021E16"/>
    <w:rsid w:val="00024723"/>
    <w:rsid w:val="0003085D"/>
    <w:rsid w:val="00042A3D"/>
    <w:rsid w:val="00065593"/>
    <w:rsid w:val="00073659"/>
    <w:rsid w:val="000A1BA0"/>
    <w:rsid w:val="000A4992"/>
    <w:rsid w:val="000B67E8"/>
    <w:rsid w:val="000B70DE"/>
    <w:rsid w:val="001209F1"/>
    <w:rsid w:val="001426BB"/>
    <w:rsid w:val="00200238"/>
    <w:rsid w:val="00216215"/>
    <w:rsid w:val="002229C3"/>
    <w:rsid w:val="0023040D"/>
    <w:rsid w:val="002358C9"/>
    <w:rsid w:val="00260BA4"/>
    <w:rsid w:val="0029471C"/>
    <w:rsid w:val="002954D2"/>
    <w:rsid w:val="002B0424"/>
    <w:rsid w:val="002B06CC"/>
    <w:rsid w:val="002C5C8B"/>
    <w:rsid w:val="0033384C"/>
    <w:rsid w:val="00380527"/>
    <w:rsid w:val="00382717"/>
    <w:rsid w:val="003964D3"/>
    <w:rsid w:val="003C10AC"/>
    <w:rsid w:val="003D5C2F"/>
    <w:rsid w:val="003F1180"/>
    <w:rsid w:val="00442B1B"/>
    <w:rsid w:val="00471B71"/>
    <w:rsid w:val="00496D25"/>
    <w:rsid w:val="004E1DD2"/>
    <w:rsid w:val="00500AA6"/>
    <w:rsid w:val="005321B2"/>
    <w:rsid w:val="00536FF0"/>
    <w:rsid w:val="00554845"/>
    <w:rsid w:val="00567B74"/>
    <w:rsid w:val="005778DD"/>
    <w:rsid w:val="00591989"/>
    <w:rsid w:val="005E25C5"/>
    <w:rsid w:val="005F118C"/>
    <w:rsid w:val="00605694"/>
    <w:rsid w:val="00615D6F"/>
    <w:rsid w:val="00641155"/>
    <w:rsid w:val="006755C0"/>
    <w:rsid w:val="00694A0C"/>
    <w:rsid w:val="006A65D3"/>
    <w:rsid w:val="006D70F7"/>
    <w:rsid w:val="006F73D7"/>
    <w:rsid w:val="0073232F"/>
    <w:rsid w:val="007416BA"/>
    <w:rsid w:val="00742854"/>
    <w:rsid w:val="00760D94"/>
    <w:rsid w:val="00771D60"/>
    <w:rsid w:val="00773BF1"/>
    <w:rsid w:val="007F4E80"/>
    <w:rsid w:val="00815D52"/>
    <w:rsid w:val="00817B27"/>
    <w:rsid w:val="0084473E"/>
    <w:rsid w:val="00862E61"/>
    <w:rsid w:val="00887FA9"/>
    <w:rsid w:val="008C100A"/>
    <w:rsid w:val="008C75A2"/>
    <w:rsid w:val="00932276"/>
    <w:rsid w:val="00992057"/>
    <w:rsid w:val="009B7C49"/>
    <w:rsid w:val="009E554F"/>
    <w:rsid w:val="009F5F66"/>
    <w:rsid w:val="00A856F3"/>
    <w:rsid w:val="00AA541F"/>
    <w:rsid w:val="00AB2FCD"/>
    <w:rsid w:val="00AB6A75"/>
    <w:rsid w:val="00AC00B1"/>
    <w:rsid w:val="00AD5550"/>
    <w:rsid w:val="00B01117"/>
    <w:rsid w:val="00B01BFA"/>
    <w:rsid w:val="00B76430"/>
    <w:rsid w:val="00BB18C5"/>
    <w:rsid w:val="00BC052A"/>
    <w:rsid w:val="00BC4101"/>
    <w:rsid w:val="00BC6614"/>
    <w:rsid w:val="00BD7E63"/>
    <w:rsid w:val="00BE07BE"/>
    <w:rsid w:val="00BE5119"/>
    <w:rsid w:val="00C02FF3"/>
    <w:rsid w:val="00C15ADB"/>
    <w:rsid w:val="00C30E2B"/>
    <w:rsid w:val="00C37A4B"/>
    <w:rsid w:val="00C53475"/>
    <w:rsid w:val="00C74A51"/>
    <w:rsid w:val="00C86D44"/>
    <w:rsid w:val="00C959E4"/>
    <w:rsid w:val="00C97DBC"/>
    <w:rsid w:val="00CB5738"/>
    <w:rsid w:val="00CE0753"/>
    <w:rsid w:val="00CE1917"/>
    <w:rsid w:val="00D060A1"/>
    <w:rsid w:val="00D82771"/>
    <w:rsid w:val="00D96885"/>
    <w:rsid w:val="00DB7EAC"/>
    <w:rsid w:val="00DF77ED"/>
    <w:rsid w:val="00E040B3"/>
    <w:rsid w:val="00E212DF"/>
    <w:rsid w:val="00E32BCC"/>
    <w:rsid w:val="00EB1BA0"/>
    <w:rsid w:val="00F417B1"/>
    <w:rsid w:val="00F7094C"/>
    <w:rsid w:val="00F72562"/>
    <w:rsid w:val="00FA19F5"/>
    <w:rsid w:val="00FB591F"/>
    <w:rsid w:val="00FB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58C9"/>
  </w:style>
  <w:style w:type="paragraph" w:styleId="Heading1">
    <w:name w:val="heading 1"/>
    <w:basedOn w:val="Normal"/>
    <w:next w:val="Normal"/>
    <w:qFormat/>
    <w:rsid w:val="002358C9"/>
    <w:pPr>
      <w:keepNext/>
      <w:outlineLvl w:val="0"/>
    </w:pPr>
    <w:rPr>
      <w:sz w:val="24"/>
    </w:rPr>
  </w:style>
  <w:style w:type="paragraph" w:styleId="Heading3">
    <w:name w:val="heading 3"/>
    <w:basedOn w:val="Normal"/>
    <w:next w:val="Normal"/>
    <w:qFormat/>
    <w:rsid w:val="00C02FF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358C9"/>
    <w:pPr>
      <w:ind w:left="360"/>
    </w:pPr>
    <w:rPr>
      <w:sz w:val="24"/>
    </w:rPr>
  </w:style>
  <w:style w:type="paragraph" w:styleId="Header">
    <w:name w:val="header"/>
    <w:basedOn w:val="Normal"/>
    <w:rsid w:val="002358C9"/>
    <w:pPr>
      <w:tabs>
        <w:tab w:val="center" w:pos="4320"/>
        <w:tab w:val="right" w:pos="8640"/>
      </w:tabs>
    </w:pPr>
  </w:style>
  <w:style w:type="paragraph" w:styleId="Footer">
    <w:name w:val="footer"/>
    <w:basedOn w:val="Normal"/>
    <w:rsid w:val="002358C9"/>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C02FF3"/>
    <w:pPr>
      <w:spacing w:after="120"/>
    </w:pPr>
  </w:style>
  <w:style w:type="paragraph" w:styleId="Title">
    <w:name w:val="Title"/>
    <w:basedOn w:val="Normal"/>
    <w:qFormat/>
    <w:rsid w:val="00C02FF3"/>
    <w:pPr>
      <w:jc w:val="center"/>
    </w:pPr>
    <w:rPr>
      <w:b/>
      <w:sz w:val="56"/>
    </w:rPr>
  </w:style>
  <w:style w:type="table" w:styleId="TableGrid">
    <w:name w:val="Table Grid"/>
    <w:basedOn w:val="TableNormal"/>
    <w:rsid w:val="009322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8C100A"/>
  </w:style>
  <w:style w:type="character" w:customStyle="1" w:styleId="FootnoteTextChar">
    <w:name w:val="Footnote Text Char"/>
    <w:basedOn w:val="DefaultParagraphFont"/>
    <w:link w:val="FootnoteText"/>
    <w:rsid w:val="008C100A"/>
  </w:style>
  <w:style w:type="character" w:styleId="FootnoteReference">
    <w:name w:val="footnote reference"/>
    <w:basedOn w:val="DefaultParagraphFont"/>
    <w:rsid w:val="008C100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58C9"/>
  </w:style>
  <w:style w:type="paragraph" w:styleId="Heading1">
    <w:name w:val="heading 1"/>
    <w:basedOn w:val="Normal"/>
    <w:next w:val="Normal"/>
    <w:qFormat/>
    <w:rsid w:val="002358C9"/>
    <w:pPr>
      <w:keepNext/>
      <w:outlineLvl w:val="0"/>
    </w:pPr>
    <w:rPr>
      <w:sz w:val="24"/>
    </w:rPr>
  </w:style>
  <w:style w:type="paragraph" w:styleId="Heading3">
    <w:name w:val="heading 3"/>
    <w:basedOn w:val="Normal"/>
    <w:next w:val="Normal"/>
    <w:qFormat/>
    <w:rsid w:val="00C02FF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358C9"/>
    <w:pPr>
      <w:ind w:left="360"/>
    </w:pPr>
    <w:rPr>
      <w:sz w:val="24"/>
    </w:rPr>
  </w:style>
  <w:style w:type="paragraph" w:styleId="Header">
    <w:name w:val="header"/>
    <w:basedOn w:val="Normal"/>
    <w:rsid w:val="002358C9"/>
    <w:pPr>
      <w:tabs>
        <w:tab w:val="center" w:pos="4320"/>
        <w:tab w:val="right" w:pos="8640"/>
      </w:tabs>
    </w:pPr>
  </w:style>
  <w:style w:type="paragraph" w:styleId="Footer">
    <w:name w:val="footer"/>
    <w:basedOn w:val="Normal"/>
    <w:rsid w:val="002358C9"/>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C02FF3"/>
    <w:pPr>
      <w:spacing w:after="120"/>
    </w:pPr>
  </w:style>
  <w:style w:type="paragraph" w:styleId="Title">
    <w:name w:val="Title"/>
    <w:basedOn w:val="Normal"/>
    <w:qFormat/>
    <w:rsid w:val="00C02FF3"/>
    <w:pPr>
      <w:jc w:val="center"/>
    </w:pPr>
    <w:rPr>
      <w:b/>
      <w:sz w:val="56"/>
    </w:rPr>
  </w:style>
  <w:style w:type="table" w:styleId="TableGrid">
    <w:name w:val="Table Grid"/>
    <w:basedOn w:val="TableNormal"/>
    <w:rsid w:val="009322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8C100A"/>
  </w:style>
  <w:style w:type="character" w:customStyle="1" w:styleId="FootnoteTextChar">
    <w:name w:val="Footnote Text Char"/>
    <w:basedOn w:val="DefaultParagraphFont"/>
    <w:link w:val="FootnoteText"/>
    <w:rsid w:val="008C100A"/>
  </w:style>
  <w:style w:type="character" w:styleId="FootnoteReference">
    <w:name w:val="footnote reference"/>
    <w:basedOn w:val="DefaultParagraphFont"/>
    <w:rsid w:val="008C10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013278">
      <w:bodyDiv w:val="1"/>
      <w:marLeft w:val="0"/>
      <w:marRight w:val="0"/>
      <w:marTop w:val="0"/>
      <w:marBottom w:val="0"/>
      <w:divBdr>
        <w:top w:val="none" w:sz="0" w:space="0" w:color="auto"/>
        <w:left w:val="none" w:sz="0" w:space="0" w:color="auto"/>
        <w:bottom w:val="none" w:sz="0" w:space="0" w:color="auto"/>
        <w:right w:val="none" w:sz="0" w:space="0" w:color="auto"/>
      </w:divBdr>
    </w:div>
    <w:div w:id="516509539">
      <w:bodyDiv w:val="1"/>
      <w:marLeft w:val="0"/>
      <w:marRight w:val="0"/>
      <w:marTop w:val="0"/>
      <w:marBottom w:val="0"/>
      <w:divBdr>
        <w:top w:val="none" w:sz="0" w:space="0" w:color="auto"/>
        <w:left w:val="none" w:sz="0" w:space="0" w:color="auto"/>
        <w:bottom w:val="none" w:sz="0" w:space="0" w:color="auto"/>
        <w:right w:val="none" w:sz="0" w:space="0" w:color="auto"/>
      </w:divBdr>
    </w:div>
    <w:div w:id="943810321">
      <w:bodyDiv w:val="1"/>
      <w:marLeft w:val="0"/>
      <w:marRight w:val="0"/>
      <w:marTop w:val="0"/>
      <w:marBottom w:val="0"/>
      <w:divBdr>
        <w:top w:val="none" w:sz="0" w:space="0" w:color="auto"/>
        <w:left w:val="none" w:sz="0" w:space="0" w:color="auto"/>
        <w:bottom w:val="none" w:sz="0" w:space="0" w:color="auto"/>
        <w:right w:val="none" w:sz="0" w:space="0" w:color="auto"/>
      </w:divBdr>
    </w:div>
    <w:div w:id="1457212426">
      <w:bodyDiv w:val="1"/>
      <w:marLeft w:val="0"/>
      <w:marRight w:val="0"/>
      <w:marTop w:val="0"/>
      <w:marBottom w:val="0"/>
      <w:divBdr>
        <w:top w:val="none" w:sz="0" w:space="0" w:color="auto"/>
        <w:left w:val="none" w:sz="0" w:space="0" w:color="auto"/>
        <w:bottom w:val="none" w:sz="0" w:space="0" w:color="auto"/>
        <w:right w:val="none" w:sz="0" w:space="0" w:color="auto"/>
      </w:divBdr>
    </w:div>
    <w:div w:id="1535074632">
      <w:bodyDiv w:val="1"/>
      <w:marLeft w:val="0"/>
      <w:marRight w:val="0"/>
      <w:marTop w:val="0"/>
      <w:marBottom w:val="0"/>
      <w:divBdr>
        <w:top w:val="none" w:sz="0" w:space="0" w:color="auto"/>
        <w:left w:val="none" w:sz="0" w:space="0" w:color="auto"/>
        <w:bottom w:val="none" w:sz="0" w:space="0" w:color="auto"/>
        <w:right w:val="none" w:sz="0" w:space="0" w:color="auto"/>
      </w:divBdr>
    </w:div>
    <w:div w:id="1867252721">
      <w:bodyDiv w:val="1"/>
      <w:marLeft w:val="0"/>
      <w:marRight w:val="0"/>
      <w:marTop w:val="0"/>
      <w:marBottom w:val="0"/>
      <w:divBdr>
        <w:top w:val="none" w:sz="0" w:space="0" w:color="auto"/>
        <w:left w:val="none" w:sz="0" w:space="0" w:color="auto"/>
        <w:bottom w:val="none" w:sz="0" w:space="0" w:color="auto"/>
        <w:right w:val="none" w:sz="0" w:space="0" w:color="auto"/>
      </w:divBdr>
    </w:div>
    <w:div w:id="2070496249">
      <w:bodyDiv w:val="1"/>
      <w:marLeft w:val="0"/>
      <w:marRight w:val="0"/>
      <w:marTop w:val="0"/>
      <w:marBottom w:val="0"/>
      <w:divBdr>
        <w:top w:val="none" w:sz="0" w:space="0" w:color="auto"/>
        <w:left w:val="none" w:sz="0" w:space="0" w:color="auto"/>
        <w:bottom w:val="none" w:sz="0" w:space="0" w:color="auto"/>
        <w:right w:val="none" w:sz="0" w:space="0" w:color="auto"/>
      </w:divBdr>
    </w:div>
    <w:div w:id="211119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cid:image001.jpg@01CF0D31.F6805D80"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DFAF7-5C24-408F-849F-88250D2DD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557</Words>
  <Characters>3257</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KLINEFELTER</dc:creator>
  <cp:lastModifiedBy>Page, Cyndi</cp:lastModifiedBy>
  <cp:revision>2</cp:revision>
  <cp:lastPrinted>2008-02-04T16:01:00Z</cp:lastPrinted>
  <dcterms:created xsi:type="dcterms:W3CDTF">2017-01-19T18:30:00Z</dcterms:created>
  <dcterms:modified xsi:type="dcterms:W3CDTF">2017-01-19T18:30:00Z</dcterms:modified>
</cp:coreProperties>
</file>