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E53CD" w14:textId="77777777" w:rsidR="00A661FD" w:rsidRPr="00FC0061" w:rsidRDefault="00A661FD" w:rsidP="00CA03F7">
      <w:pPr>
        <w:jc w:val="center"/>
        <w:rPr>
          <w:b/>
        </w:rPr>
      </w:pPr>
      <w:bookmarkStart w:id="0" w:name="_GoBack"/>
      <w:bookmarkEnd w:id="0"/>
    </w:p>
    <w:p w14:paraId="0DF1B62B" w14:textId="77777777" w:rsidR="001D5830" w:rsidRPr="00D641D5" w:rsidRDefault="00907050" w:rsidP="00FA727E">
      <w:pPr>
        <w:ind w:right="576"/>
        <w:rPr>
          <w:sz w:val="24"/>
          <w:szCs w:val="24"/>
        </w:rPr>
      </w:pPr>
      <w:r>
        <w:rPr>
          <w:i/>
          <w:sz w:val="24"/>
          <w:szCs w:val="24"/>
        </w:rPr>
        <w:t>F</w:t>
      </w:r>
      <w:r w:rsidR="00ED57D9" w:rsidRPr="00D641D5">
        <w:rPr>
          <w:i/>
          <w:sz w:val="24"/>
          <w:szCs w:val="24"/>
        </w:rPr>
        <w:t>ollowing are descriptions of telecommunications carrier reports required by the Pennsylvania Public Utility Commission</w:t>
      </w:r>
      <w:r w:rsidR="00240C77">
        <w:rPr>
          <w:i/>
          <w:sz w:val="24"/>
          <w:szCs w:val="24"/>
        </w:rPr>
        <w:t>, and the associated PUC contact for that specific report</w:t>
      </w:r>
      <w:r w:rsidR="00ED57D9" w:rsidRPr="00D641D5">
        <w:rPr>
          <w:i/>
          <w:sz w:val="24"/>
          <w:szCs w:val="24"/>
        </w:rPr>
        <w:t>.</w:t>
      </w:r>
      <w:r w:rsidR="00ED57D9" w:rsidRPr="00D641D5">
        <w:rPr>
          <w:rStyle w:val="FootnoteReference"/>
          <w:i/>
          <w:sz w:val="24"/>
          <w:szCs w:val="24"/>
        </w:rPr>
        <w:footnoteReference w:id="1"/>
      </w:r>
      <w:r w:rsidR="00ED57D9" w:rsidRPr="00D641D5">
        <w:rPr>
          <w:i/>
          <w:sz w:val="24"/>
          <w:szCs w:val="24"/>
        </w:rPr>
        <w:t xml:space="preserve">  </w:t>
      </w:r>
      <w:r w:rsidR="00240C77" w:rsidRPr="00D641D5">
        <w:rPr>
          <w:i/>
          <w:sz w:val="24"/>
          <w:szCs w:val="24"/>
        </w:rPr>
        <w:t>Each c</w:t>
      </w:r>
      <w:r w:rsidR="00240C77">
        <w:rPr>
          <w:i/>
          <w:sz w:val="24"/>
          <w:szCs w:val="24"/>
        </w:rPr>
        <w:t>ompany</w:t>
      </w:r>
      <w:r w:rsidR="00240C77" w:rsidRPr="00D641D5">
        <w:rPr>
          <w:i/>
          <w:sz w:val="24"/>
          <w:szCs w:val="24"/>
        </w:rPr>
        <w:t xml:space="preserve"> is responsible to adhere to all of the established rules, regulations and directives of the Commission on reporting requirements of utilities. </w:t>
      </w:r>
      <w:r w:rsidR="00240C77">
        <w:rPr>
          <w:i/>
          <w:sz w:val="24"/>
          <w:szCs w:val="24"/>
        </w:rPr>
        <w:t>For questions on a specific report please contact the person listed as the PUC Contact for that report.  All other i</w:t>
      </w:r>
      <w:r w:rsidR="00240C77" w:rsidRPr="00D641D5">
        <w:rPr>
          <w:i/>
          <w:sz w:val="24"/>
          <w:szCs w:val="24"/>
        </w:rPr>
        <w:t>nquiries may be</w:t>
      </w:r>
      <w:r w:rsidR="00240C77">
        <w:rPr>
          <w:i/>
          <w:sz w:val="24"/>
          <w:szCs w:val="24"/>
        </w:rPr>
        <w:t xml:space="preserve"> directed to the Bureau of Technical </w:t>
      </w:r>
      <w:r w:rsidR="00240C77" w:rsidRPr="00D641D5">
        <w:rPr>
          <w:i/>
          <w:sz w:val="24"/>
          <w:szCs w:val="24"/>
        </w:rPr>
        <w:t>Utility Services</w:t>
      </w:r>
      <w:r w:rsidR="00240C77">
        <w:rPr>
          <w:i/>
          <w:sz w:val="24"/>
          <w:szCs w:val="24"/>
        </w:rPr>
        <w:t xml:space="preserve"> at (717) 783</w:t>
      </w:r>
      <w:r w:rsidR="00240C77" w:rsidRPr="00D641D5">
        <w:rPr>
          <w:i/>
          <w:sz w:val="24"/>
          <w:szCs w:val="24"/>
        </w:rPr>
        <w:t>-</w:t>
      </w:r>
      <w:r w:rsidR="00240C77">
        <w:rPr>
          <w:i/>
          <w:sz w:val="24"/>
          <w:szCs w:val="24"/>
        </w:rPr>
        <w:t>5242</w:t>
      </w:r>
      <w:r w:rsidR="00240C77" w:rsidRPr="00D641D5">
        <w:rPr>
          <w:i/>
          <w:sz w:val="24"/>
          <w:szCs w:val="24"/>
        </w:rPr>
        <w:t>.</w:t>
      </w:r>
      <w:r w:rsidR="00AA2591" w:rsidRPr="00D641D5">
        <w:rPr>
          <w:sz w:val="24"/>
          <w:szCs w:val="24"/>
        </w:rPr>
        <w:t xml:space="preserve"> </w:t>
      </w:r>
    </w:p>
    <w:p w14:paraId="0CE6492B" w14:textId="77777777" w:rsidR="00AA2591" w:rsidRPr="00D641D5" w:rsidRDefault="00AA2591">
      <w:pPr>
        <w:rPr>
          <w:i/>
          <w:sz w:val="24"/>
          <w:szCs w:val="24"/>
        </w:rPr>
      </w:pPr>
      <w:r w:rsidRPr="00D641D5">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9"/>
        <w:gridCol w:w="2520"/>
      </w:tblGrid>
      <w:tr w:rsidR="00E21BA8" w:rsidRPr="00E712F9" w14:paraId="7FD873A9" w14:textId="77777777" w:rsidTr="00E712F9">
        <w:trPr>
          <w:cantSplit/>
          <w:tblHeader/>
        </w:trPr>
        <w:tc>
          <w:tcPr>
            <w:tcW w:w="6889" w:type="dxa"/>
            <w:shd w:val="clear" w:color="auto" w:fill="000000"/>
          </w:tcPr>
          <w:p w14:paraId="7991BD46" w14:textId="77777777" w:rsidR="00E21BA8" w:rsidRPr="00E712F9" w:rsidRDefault="00E21BA8" w:rsidP="00E712F9">
            <w:pPr>
              <w:jc w:val="center"/>
              <w:rPr>
                <w:b/>
                <w:color w:val="FFFFFF"/>
                <w:sz w:val="24"/>
                <w:szCs w:val="24"/>
              </w:rPr>
            </w:pPr>
            <w:r w:rsidRPr="00E712F9">
              <w:rPr>
                <w:b/>
                <w:color w:val="FFFFFF"/>
                <w:sz w:val="24"/>
                <w:szCs w:val="24"/>
              </w:rPr>
              <w:t>Report Name &amp; Description</w:t>
            </w:r>
          </w:p>
        </w:tc>
        <w:tc>
          <w:tcPr>
            <w:tcW w:w="2520" w:type="dxa"/>
            <w:shd w:val="clear" w:color="auto" w:fill="000000"/>
          </w:tcPr>
          <w:p w14:paraId="671731A5" w14:textId="77777777" w:rsidR="00E21BA8" w:rsidRPr="00E712F9" w:rsidRDefault="00E21BA8" w:rsidP="00E712F9">
            <w:pPr>
              <w:jc w:val="center"/>
              <w:rPr>
                <w:b/>
                <w:color w:val="FFFFFF"/>
                <w:sz w:val="24"/>
                <w:szCs w:val="24"/>
              </w:rPr>
            </w:pPr>
            <w:r w:rsidRPr="00E712F9">
              <w:rPr>
                <w:b/>
                <w:color w:val="FFFFFF"/>
                <w:sz w:val="24"/>
                <w:szCs w:val="24"/>
              </w:rPr>
              <w:t>PUC Contact</w:t>
            </w:r>
          </w:p>
        </w:tc>
      </w:tr>
      <w:tr w:rsidR="008E33C8" w:rsidRPr="00E712F9" w14:paraId="31E65D5F" w14:textId="77777777" w:rsidTr="00E712F9">
        <w:trPr>
          <w:cantSplit/>
        </w:trPr>
        <w:tc>
          <w:tcPr>
            <w:tcW w:w="6889" w:type="dxa"/>
          </w:tcPr>
          <w:p w14:paraId="2DDA09BD" w14:textId="77777777" w:rsidR="008E33C8" w:rsidRPr="00E712F9" w:rsidRDefault="008E33C8" w:rsidP="008E33C8">
            <w:pPr>
              <w:rPr>
                <w:b/>
                <w:sz w:val="24"/>
                <w:szCs w:val="24"/>
              </w:rPr>
            </w:pPr>
            <w:r w:rsidRPr="00E712F9">
              <w:rPr>
                <w:b/>
                <w:sz w:val="24"/>
                <w:szCs w:val="24"/>
              </w:rPr>
              <w:t>Annual Access Line Summary Report (</w:t>
            </w:r>
            <w:r w:rsidRPr="00350E8F">
              <w:rPr>
                <w:b/>
                <w:sz w:val="24"/>
                <w:szCs w:val="24"/>
              </w:rPr>
              <w:t>52 Pa. Code § 63.37(c)(2)</w:t>
            </w:r>
            <w:r w:rsidRPr="00E712F9">
              <w:rPr>
                <w:b/>
                <w:sz w:val="24"/>
                <w:szCs w:val="24"/>
              </w:rPr>
              <w:t>) Telecommunications Relay Service</w:t>
            </w:r>
          </w:p>
          <w:p w14:paraId="20B46E81" w14:textId="77777777" w:rsidR="008E33C8" w:rsidRPr="00E712F9" w:rsidRDefault="008E33C8" w:rsidP="008E33C8">
            <w:pPr>
              <w:rPr>
                <w:b/>
                <w:sz w:val="24"/>
                <w:szCs w:val="24"/>
              </w:rPr>
            </w:pPr>
          </w:p>
          <w:p w14:paraId="45001258" w14:textId="77777777" w:rsidR="008E33C8" w:rsidRPr="00E712F9" w:rsidRDefault="008E33C8" w:rsidP="008E33C8">
            <w:pPr>
              <w:rPr>
                <w:sz w:val="24"/>
                <w:szCs w:val="24"/>
              </w:rPr>
            </w:pPr>
            <w:r w:rsidRPr="00E712F9">
              <w:rPr>
                <w:b/>
                <w:sz w:val="24"/>
                <w:szCs w:val="24"/>
              </w:rPr>
              <w:t>Carrier Type</w:t>
            </w:r>
            <w:r>
              <w:rPr>
                <w:b/>
                <w:sz w:val="24"/>
                <w:szCs w:val="24"/>
              </w:rPr>
              <w:t>s</w:t>
            </w:r>
            <w:r w:rsidRPr="00E712F9">
              <w:rPr>
                <w:b/>
                <w:sz w:val="24"/>
                <w:szCs w:val="24"/>
              </w:rPr>
              <w:t>:</w:t>
            </w:r>
            <w:r w:rsidRPr="00E712F9">
              <w:rPr>
                <w:sz w:val="24"/>
                <w:szCs w:val="24"/>
              </w:rPr>
              <w:t xml:space="preserve">  ILEC, CLEC</w:t>
            </w:r>
          </w:p>
          <w:p w14:paraId="2ECC9EC0" w14:textId="77777777" w:rsidR="008E33C8" w:rsidRPr="00E712F9" w:rsidRDefault="008E33C8" w:rsidP="008E33C8">
            <w:pPr>
              <w:rPr>
                <w:sz w:val="24"/>
                <w:szCs w:val="24"/>
              </w:rPr>
            </w:pPr>
          </w:p>
          <w:p w14:paraId="7AF2EAFC" w14:textId="77777777" w:rsidR="008E33C8" w:rsidRPr="00E712F9" w:rsidRDefault="008E33C8" w:rsidP="008E33C8">
            <w:pPr>
              <w:rPr>
                <w:sz w:val="24"/>
                <w:szCs w:val="24"/>
              </w:rPr>
            </w:pPr>
            <w:r w:rsidRPr="00E712F9">
              <w:rPr>
                <w:sz w:val="24"/>
                <w:szCs w:val="24"/>
              </w:rPr>
              <w:t>Carriers are required to file the Telecommunications Relay Service (TRS) Annual Access Line Summary Report each year that summarizes each carrier's access lines as of year-end for the previous year.</w:t>
            </w:r>
          </w:p>
          <w:p w14:paraId="542DD170" w14:textId="77777777" w:rsidR="008E33C8" w:rsidRPr="00E712F9" w:rsidRDefault="008E33C8" w:rsidP="008E33C8">
            <w:pPr>
              <w:rPr>
                <w:b/>
                <w:sz w:val="24"/>
                <w:szCs w:val="24"/>
              </w:rPr>
            </w:pPr>
          </w:p>
          <w:p w14:paraId="7CC89452" w14:textId="77777777" w:rsidR="008E33C8" w:rsidRPr="00E712F9" w:rsidRDefault="008E33C8" w:rsidP="008E33C8">
            <w:pPr>
              <w:keepNext/>
              <w:keepLines/>
              <w:rPr>
                <w:sz w:val="24"/>
                <w:szCs w:val="24"/>
              </w:rPr>
            </w:pPr>
            <w:r w:rsidRPr="00E712F9">
              <w:rPr>
                <w:b/>
                <w:sz w:val="24"/>
                <w:szCs w:val="24"/>
              </w:rPr>
              <w:t>Due Date:</w:t>
            </w:r>
            <w:r w:rsidRPr="00E712F9">
              <w:rPr>
                <w:sz w:val="24"/>
                <w:szCs w:val="24"/>
              </w:rPr>
              <w:t xml:space="preserve"> </w:t>
            </w:r>
            <w:r>
              <w:rPr>
                <w:sz w:val="24"/>
                <w:szCs w:val="24"/>
              </w:rPr>
              <w:t xml:space="preserve"> </w:t>
            </w:r>
            <w:r w:rsidRPr="00E712F9">
              <w:rPr>
                <w:sz w:val="24"/>
                <w:szCs w:val="24"/>
              </w:rPr>
              <w:t>March 1</w:t>
            </w:r>
          </w:p>
          <w:p w14:paraId="35EEF770" w14:textId="77777777" w:rsidR="008E33C8" w:rsidRPr="00E712F9" w:rsidRDefault="008E33C8" w:rsidP="008E33C8">
            <w:pPr>
              <w:keepNext/>
              <w:keepLines/>
              <w:rPr>
                <w:sz w:val="24"/>
                <w:szCs w:val="24"/>
              </w:rPr>
            </w:pPr>
            <w:r w:rsidRPr="00E712F9">
              <w:rPr>
                <w:sz w:val="24"/>
                <w:szCs w:val="24"/>
              </w:rPr>
              <w:t>See Secretarial Letter dated February 1, 2008</w:t>
            </w:r>
          </w:p>
          <w:p w14:paraId="2B976206" w14:textId="77777777" w:rsidR="008E33C8" w:rsidRPr="00E712F9" w:rsidRDefault="008E33C8" w:rsidP="008E33C8">
            <w:pPr>
              <w:rPr>
                <w:b/>
                <w:sz w:val="24"/>
                <w:szCs w:val="24"/>
              </w:rPr>
            </w:pPr>
          </w:p>
        </w:tc>
        <w:tc>
          <w:tcPr>
            <w:tcW w:w="2520" w:type="dxa"/>
          </w:tcPr>
          <w:p w14:paraId="39D27597" w14:textId="77777777" w:rsidR="008E33C8" w:rsidRDefault="008E33C8" w:rsidP="008E33C8">
            <w:pPr>
              <w:rPr>
                <w:sz w:val="24"/>
                <w:szCs w:val="24"/>
              </w:rPr>
            </w:pPr>
            <w:r>
              <w:rPr>
                <w:sz w:val="24"/>
                <w:szCs w:val="24"/>
              </w:rPr>
              <w:t>Spencer Nahf</w:t>
            </w:r>
          </w:p>
          <w:p w14:paraId="59F5E97C" w14:textId="77777777" w:rsidR="008E33C8" w:rsidRDefault="00286B01" w:rsidP="008E33C8">
            <w:pPr>
              <w:rPr>
                <w:sz w:val="24"/>
                <w:szCs w:val="24"/>
              </w:rPr>
            </w:pPr>
            <w:hyperlink r:id="rId8" w:history="1">
              <w:r w:rsidR="008E33C8" w:rsidRPr="00C44E5D">
                <w:rPr>
                  <w:rStyle w:val="Hyperlink"/>
                  <w:sz w:val="24"/>
                  <w:szCs w:val="24"/>
                </w:rPr>
                <w:t>snahf@pa.gov</w:t>
              </w:r>
            </w:hyperlink>
            <w:r w:rsidR="008E33C8">
              <w:rPr>
                <w:sz w:val="24"/>
                <w:szCs w:val="24"/>
              </w:rPr>
              <w:br/>
              <w:t>(717) 787-5164</w:t>
            </w:r>
          </w:p>
          <w:p w14:paraId="479B750D" w14:textId="4A0B2CC3" w:rsidR="008E33C8" w:rsidRPr="00E712F9" w:rsidRDefault="008E33C8" w:rsidP="008E33C8">
            <w:pPr>
              <w:rPr>
                <w:sz w:val="24"/>
                <w:szCs w:val="24"/>
              </w:rPr>
            </w:pPr>
            <w:r>
              <w:rPr>
                <w:sz w:val="24"/>
                <w:szCs w:val="24"/>
              </w:rPr>
              <w:t>Bureau of Technical Utility Services</w:t>
            </w:r>
          </w:p>
        </w:tc>
      </w:tr>
      <w:tr w:rsidR="00E21BA8" w:rsidRPr="00E712F9" w14:paraId="119B7E14" w14:textId="77777777" w:rsidTr="00E712F9">
        <w:trPr>
          <w:cantSplit/>
        </w:trPr>
        <w:tc>
          <w:tcPr>
            <w:tcW w:w="6889" w:type="dxa"/>
          </w:tcPr>
          <w:p w14:paraId="6D98E3B2" w14:textId="77777777" w:rsidR="00E21BA8" w:rsidRPr="00E712F9" w:rsidRDefault="00E21BA8" w:rsidP="001D5830">
            <w:pPr>
              <w:rPr>
                <w:b/>
                <w:sz w:val="24"/>
                <w:szCs w:val="24"/>
              </w:rPr>
            </w:pPr>
            <w:r w:rsidRPr="00E712F9">
              <w:rPr>
                <w:b/>
                <w:sz w:val="24"/>
                <w:szCs w:val="24"/>
              </w:rPr>
              <w:t xml:space="preserve">Annual Financial Report (52 </w:t>
            </w:r>
            <w:smartTag w:uri="urn:schemas-microsoft-com:office:smarttags" w:element="place">
              <w:smartTag w:uri="urn:schemas-microsoft-com:office:smarttags" w:element="State">
                <w:r w:rsidRPr="00E712F9">
                  <w:rPr>
                    <w:b/>
                    <w:sz w:val="24"/>
                    <w:szCs w:val="24"/>
                  </w:rPr>
                  <w:t>Pa.</w:t>
                </w:r>
              </w:smartTag>
            </w:smartTag>
            <w:r w:rsidRPr="00E712F9">
              <w:rPr>
                <w:b/>
                <w:sz w:val="24"/>
                <w:szCs w:val="24"/>
              </w:rPr>
              <w:t xml:space="preserve"> Code </w:t>
            </w:r>
            <w:r>
              <w:rPr>
                <w:b/>
                <w:sz w:val="24"/>
                <w:szCs w:val="24"/>
              </w:rPr>
              <w:t xml:space="preserve">§ </w:t>
            </w:r>
            <w:r w:rsidRPr="00E712F9">
              <w:rPr>
                <w:b/>
                <w:sz w:val="24"/>
                <w:szCs w:val="24"/>
              </w:rPr>
              <w:t>63.36)</w:t>
            </w:r>
            <w:r w:rsidR="009F027A">
              <w:rPr>
                <w:b/>
                <w:sz w:val="24"/>
                <w:szCs w:val="24"/>
              </w:rPr>
              <w:t xml:space="preserve"> </w:t>
            </w:r>
            <w:r w:rsidR="009F027A" w:rsidRPr="00E712F9">
              <w:rPr>
                <w:b/>
                <w:sz w:val="24"/>
                <w:szCs w:val="24"/>
              </w:rPr>
              <w:t xml:space="preserve">(52. </w:t>
            </w:r>
            <w:smartTag w:uri="urn:schemas-microsoft-com:office:smarttags" w:element="place">
              <w:smartTag w:uri="urn:schemas-microsoft-com:office:smarttags" w:element="State">
                <w:r w:rsidR="009F027A" w:rsidRPr="00E712F9">
                  <w:rPr>
                    <w:b/>
                    <w:sz w:val="24"/>
                    <w:szCs w:val="24"/>
                  </w:rPr>
                  <w:t>Pa.</w:t>
                </w:r>
              </w:smartTag>
            </w:smartTag>
            <w:r w:rsidR="009F027A" w:rsidRPr="00E712F9">
              <w:rPr>
                <w:b/>
                <w:sz w:val="24"/>
                <w:szCs w:val="24"/>
              </w:rPr>
              <w:t xml:space="preserve"> Code </w:t>
            </w:r>
            <w:r w:rsidR="009F027A">
              <w:rPr>
                <w:b/>
                <w:sz w:val="24"/>
                <w:szCs w:val="24"/>
              </w:rPr>
              <w:t>§</w:t>
            </w:r>
            <w:r w:rsidR="00FD0EE2">
              <w:rPr>
                <w:b/>
                <w:sz w:val="24"/>
                <w:szCs w:val="24"/>
              </w:rPr>
              <w:t> </w:t>
            </w:r>
            <w:r w:rsidR="009F027A" w:rsidRPr="00E712F9">
              <w:rPr>
                <w:b/>
                <w:sz w:val="24"/>
                <w:szCs w:val="24"/>
              </w:rPr>
              <w:t>6</w:t>
            </w:r>
            <w:r w:rsidR="009F027A">
              <w:rPr>
                <w:b/>
                <w:sz w:val="24"/>
                <w:szCs w:val="24"/>
              </w:rPr>
              <w:t>3.108 for IXCs</w:t>
            </w:r>
            <w:r w:rsidR="009F027A" w:rsidRPr="00E712F9">
              <w:rPr>
                <w:b/>
                <w:sz w:val="24"/>
                <w:szCs w:val="24"/>
              </w:rPr>
              <w:t>)</w:t>
            </w:r>
            <w:r w:rsidRPr="00E712F9">
              <w:rPr>
                <w:b/>
                <w:sz w:val="24"/>
                <w:szCs w:val="24"/>
              </w:rPr>
              <w:t xml:space="preserve"> </w:t>
            </w:r>
          </w:p>
          <w:p w14:paraId="1D6409DE" w14:textId="77777777" w:rsidR="00E21BA8" w:rsidRPr="00E712F9" w:rsidRDefault="00E21BA8" w:rsidP="00AC4ED3">
            <w:pPr>
              <w:rPr>
                <w:b/>
                <w:sz w:val="24"/>
                <w:szCs w:val="24"/>
              </w:rPr>
            </w:pPr>
          </w:p>
          <w:p w14:paraId="21DB5A33" w14:textId="77777777" w:rsidR="00E21BA8" w:rsidRPr="00E712F9" w:rsidRDefault="00E21BA8" w:rsidP="00AC4ED3">
            <w:pPr>
              <w:rPr>
                <w:sz w:val="24"/>
                <w:szCs w:val="24"/>
              </w:rPr>
            </w:pPr>
            <w:r w:rsidRPr="00E712F9">
              <w:rPr>
                <w:b/>
                <w:sz w:val="24"/>
                <w:szCs w:val="24"/>
              </w:rPr>
              <w:t>Carrier Types:</w:t>
            </w:r>
            <w:r w:rsidRPr="00E712F9">
              <w:rPr>
                <w:sz w:val="24"/>
                <w:szCs w:val="24"/>
              </w:rPr>
              <w:t xml:space="preserve">  All </w:t>
            </w:r>
          </w:p>
          <w:p w14:paraId="7720141E" w14:textId="77777777" w:rsidR="00E21BA8" w:rsidRPr="00E712F9" w:rsidRDefault="00E21BA8" w:rsidP="00AC4ED3">
            <w:pPr>
              <w:rPr>
                <w:sz w:val="24"/>
                <w:szCs w:val="24"/>
              </w:rPr>
            </w:pPr>
          </w:p>
          <w:p w14:paraId="24B0A894" w14:textId="77777777" w:rsidR="00E21BA8" w:rsidRPr="00E712F9" w:rsidRDefault="00E21BA8" w:rsidP="00AC4ED3">
            <w:pPr>
              <w:rPr>
                <w:sz w:val="24"/>
                <w:szCs w:val="24"/>
              </w:rPr>
            </w:pPr>
            <w:r w:rsidRPr="00E712F9">
              <w:rPr>
                <w:sz w:val="24"/>
                <w:szCs w:val="24"/>
              </w:rPr>
              <w:t xml:space="preserve">The Annual Financial report consists of a balance sheet and income statement </w:t>
            </w:r>
            <w:r w:rsidRPr="00E712F9">
              <w:rPr>
                <w:bCs/>
                <w:sz w:val="24"/>
                <w:szCs w:val="24"/>
              </w:rPr>
              <w:t>in a format as determined by the Commission</w:t>
            </w:r>
            <w:r w:rsidRPr="00E712F9">
              <w:rPr>
                <w:sz w:val="24"/>
                <w:szCs w:val="24"/>
              </w:rPr>
              <w:t>.</w:t>
            </w:r>
          </w:p>
          <w:p w14:paraId="283FFBFA" w14:textId="77777777" w:rsidR="00E21BA8" w:rsidRPr="00E712F9" w:rsidRDefault="00E21BA8" w:rsidP="00AC4ED3">
            <w:pPr>
              <w:rPr>
                <w:sz w:val="24"/>
                <w:szCs w:val="24"/>
              </w:rPr>
            </w:pPr>
          </w:p>
          <w:p w14:paraId="39B260DD" w14:textId="77777777" w:rsidR="00E21BA8" w:rsidRPr="00E712F9" w:rsidRDefault="00E21BA8" w:rsidP="00E712F9">
            <w:pPr>
              <w:keepNext/>
              <w:keepLines/>
              <w:rPr>
                <w:sz w:val="24"/>
                <w:szCs w:val="24"/>
              </w:rPr>
            </w:pPr>
            <w:r w:rsidRPr="00E712F9">
              <w:rPr>
                <w:b/>
                <w:sz w:val="24"/>
                <w:szCs w:val="24"/>
              </w:rPr>
              <w:t>Due Date:</w:t>
            </w:r>
            <w:r w:rsidRPr="00E712F9">
              <w:rPr>
                <w:sz w:val="24"/>
                <w:szCs w:val="24"/>
              </w:rPr>
              <w:t xml:space="preserve"> </w:t>
            </w:r>
            <w:r w:rsidR="00FD0EE2">
              <w:rPr>
                <w:sz w:val="24"/>
                <w:szCs w:val="24"/>
              </w:rPr>
              <w:t xml:space="preserve"> </w:t>
            </w:r>
            <w:r w:rsidRPr="00E712F9">
              <w:rPr>
                <w:sz w:val="24"/>
                <w:szCs w:val="24"/>
              </w:rPr>
              <w:t>April 30 for reports based on calendar year.</w:t>
            </w:r>
          </w:p>
          <w:p w14:paraId="0B3ADD39" w14:textId="77777777" w:rsidR="00E21BA8" w:rsidRDefault="00E21BA8" w:rsidP="00E712F9">
            <w:pPr>
              <w:keepNext/>
              <w:keepLines/>
              <w:rPr>
                <w:sz w:val="24"/>
                <w:szCs w:val="24"/>
              </w:rPr>
            </w:pPr>
            <w:r w:rsidRPr="00E712F9">
              <w:rPr>
                <w:sz w:val="24"/>
                <w:szCs w:val="24"/>
              </w:rPr>
              <w:tab/>
              <w:t xml:space="preserve">     </w:t>
            </w:r>
            <w:r w:rsidR="00FD0EE2">
              <w:rPr>
                <w:sz w:val="24"/>
                <w:szCs w:val="24"/>
              </w:rPr>
              <w:t xml:space="preserve"> </w:t>
            </w:r>
            <w:r w:rsidRPr="00E712F9">
              <w:rPr>
                <w:sz w:val="24"/>
                <w:szCs w:val="24"/>
              </w:rPr>
              <w:t xml:space="preserve"> July 31 for reports ba</w:t>
            </w:r>
            <w:r w:rsidR="009F027A">
              <w:rPr>
                <w:sz w:val="24"/>
                <w:szCs w:val="24"/>
              </w:rPr>
              <w:t>sed on fiscal year ending May 31.</w:t>
            </w:r>
          </w:p>
          <w:p w14:paraId="6C458C80" w14:textId="77777777" w:rsidR="00E21BA8" w:rsidRPr="00E712F9" w:rsidRDefault="009F027A">
            <w:pPr>
              <w:rPr>
                <w:sz w:val="24"/>
                <w:szCs w:val="24"/>
              </w:rPr>
            </w:pPr>
            <w:r>
              <w:rPr>
                <w:sz w:val="24"/>
                <w:szCs w:val="24"/>
              </w:rPr>
              <w:t xml:space="preserve">                  </w:t>
            </w:r>
            <w:r w:rsidR="00FD0EE2">
              <w:rPr>
                <w:sz w:val="24"/>
                <w:szCs w:val="24"/>
              </w:rPr>
              <w:t xml:space="preserve"> </w:t>
            </w:r>
            <w:r>
              <w:rPr>
                <w:sz w:val="24"/>
                <w:szCs w:val="24"/>
              </w:rPr>
              <w:t>May 31 for Interexchange Carriers (IXC).</w:t>
            </w:r>
          </w:p>
        </w:tc>
        <w:tc>
          <w:tcPr>
            <w:tcW w:w="2520" w:type="dxa"/>
          </w:tcPr>
          <w:p w14:paraId="432BFE90" w14:textId="77777777" w:rsidR="00E21BA8" w:rsidRDefault="00E21BA8">
            <w:pPr>
              <w:rPr>
                <w:sz w:val="24"/>
                <w:szCs w:val="24"/>
              </w:rPr>
            </w:pPr>
            <w:r>
              <w:rPr>
                <w:sz w:val="24"/>
                <w:szCs w:val="24"/>
              </w:rPr>
              <w:t>Richard Layton</w:t>
            </w:r>
          </w:p>
          <w:p w14:paraId="09D1C218" w14:textId="77777777" w:rsidR="00A800E4" w:rsidRDefault="00286B01">
            <w:pPr>
              <w:rPr>
                <w:sz w:val="24"/>
                <w:szCs w:val="24"/>
              </w:rPr>
            </w:pPr>
            <w:hyperlink r:id="rId9" w:history="1">
              <w:r w:rsidR="00A800E4" w:rsidRPr="00C44E5D">
                <w:rPr>
                  <w:rStyle w:val="Hyperlink"/>
                  <w:sz w:val="24"/>
                  <w:szCs w:val="24"/>
                </w:rPr>
                <w:t>rlayton@pa.gov</w:t>
              </w:r>
            </w:hyperlink>
          </w:p>
          <w:p w14:paraId="4F0FB5C9" w14:textId="77777777" w:rsidR="00E21BA8" w:rsidRPr="00E712F9" w:rsidRDefault="00E21BA8">
            <w:pPr>
              <w:rPr>
                <w:sz w:val="24"/>
                <w:szCs w:val="24"/>
              </w:rPr>
            </w:pPr>
            <w:r w:rsidRPr="00E712F9">
              <w:rPr>
                <w:sz w:val="24"/>
                <w:szCs w:val="24"/>
              </w:rPr>
              <w:t xml:space="preserve">(717) </w:t>
            </w:r>
            <w:r>
              <w:rPr>
                <w:sz w:val="24"/>
                <w:szCs w:val="24"/>
              </w:rPr>
              <w:t>214-9117</w:t>
            </w:r>
          </w:p>
          <w:p w14:paraId="28BDBA29" w14:textId="77777777" w:rsidR="00E21BA8" w:rsidRPr="00E712F9" w:rsidRDefault="00E21BA8" w:rsidP="00465175">
            <w:pPr>
              <w:rPr>
                <w:sz w:val="24"/>
                <w:szCs w:val="24"/>
              </w:rPr>
            </w:pPr>
            <w:r w:rsidRPr="00E712F9">
              <w:rPr>
                <w:sz w:val="24"/>
                <w:szCs w:val="24"/>
              </w:rPr>
              <w:t xml:space="preserve">Bureau of </w:t>
            </w:r>
            <w:r>
              <w:rPr>
                <w:sz w:val="24"/>
                <w:szCs w:val="24"/>
              </w:rPr>
              <w:t>Technical</w:t>
            </w:r>
            <w:r w:rsidRPr="00E712F9">
              <w:rPr>
                <w:sz w:val="24"/>
                <w:szCs w:val="24"/>
              </w:rPr>
              <w:t xml:space="preserve"> Utility Service</w:t>
            </w:r>
            <w:r>
              <w:rPr>
                <w:sz w:val="24"/>
                <w:szCs w:val="24"/>
              </w:rPr>
              <w:t>s</w:t>
            </w:r>
          </w:p>
        </w:tc>
      </w:tr>
      <w:tr w:rsidR="00E21BA8" w:rsidRPr="00E712F9" w14:paraId="78DBABE2" w14:textId="77777777" w:rsidTr="00E712F9">
        <w:trPr>
          <w:cantSplit/>
        </w:trPr>
        <w:tc>
          <w:tcPr>
            <w:tcW w:w="6889" w:type="dxa"/>
          </w:tcPr>
          <w:p w14:paraId="15408E2C" w14:textId="77777777" w:rsidR="00E21BA8" w:rsidRDefault="00E21BA8" w:rsidP="00232DC9">
            <w:pPr>
              <w:rPr>
                <w:sz w:val="24"/>
                <w:szCs w:val="24"/>
              </w:rPr>
            </w:pPr>
            <w:r w:rsidRPr="00E712F9">
              <w:rPr>
                <w:b/>
                <w:sz w:val="24"/>
                <w:szCs w:val="24"/>
              </w:rPr>
              <w:t xml:space="preserve">Annual Tracking Report [Surcharges] </w:t>
            </w:r>
            <w:r w:rsidRPr="00535062">
              <w:rPr>
                <w:b/>
                <w:sz w:val="22"/>
                <w:szCs w:val="24"/>
              </w:rPr>
              <w:t>(</w:t>
            </w:r>
            <w:r w:rsidR="00FE6986">
              <w:rPr>
                <w:b/>
                <w:sz w:val="22"/>
                <w:szCs w:val="24"/>
              </w:rPr>
              <w:t>52 Pa. Code § 63.37(c)(1</w:t>
            </w:r>
            <w:r w:rsidR="00535062" w:rsidRPr="00535062">
              <w:rPr>
                <w:b/>
                <w:sz w:val="22"/>
                <w:szCs w:val="24"/>
              </w:rPr>
              <w:t>)</w:t>
            </w:r>
            <w:r w:rsidRPr="00535062">
              <w:rPr>
                <w:b/>
                <w:sz w:val="22"/>
                <w:szCs w:val="24"/>
              </w:rPr>
              <w:t>)</w:t>
            </w:r>
            <w:r w:rsidRPr="00E712F9">
              <w:rPr>
                <w:b/>
                <w:sz w:val="24"/>
                <w:szCs w:val="24"/>
              </w:rPr>
              <w:t xml:space="preserve"> Telecommunications Relay Service</w:t>
            </w:r>
            <w:r w:rsidRPr="00E712F9">
              <w:rPr>
                <w:sz w:val="24"/>
                <w:szCs w:val="24"/>
              </w:rPr>
              <w:t xml:space="preserve">  </w:t>
            </w:r>
          </w:p>
          <w:p w14:paraId="689AFDB5" w14:textId="77777777" w:rsidR="00FD0EE2" w:rsidRDefault="00FD0EE2" w:rsidP="00232DC9">
            <w:pPr>
              <w:rPr>
                <w:sz w:val="24"/>
                <w:szCs w:val="24"/>
              </w:rPr>
            </w:pPr>
          </w:p>
          <w:p w14:paraId="1D03ECC9" w14:textId="77777777" w:rsidR="00FD0EE2" w:rsidRPr="00E712F9" w:rsidRDefault="00FD0EE2" w:rsidP="00232DC9">
            <w:pPr>
              <w:rPr>
                <w:sz w:val="24"/>
                <w:szCs w:val="24"/>
              </w:rPr>
            </w:pPr>
            <w:r w:rsidRPr="00FD0EE2">
              <w:rPr>
                <w:b/>
                <w:sz w:val="24"/>
                <w:szCs w:val="24"/>
              </w:rPr>
              <w:t>Carrier Types:</w:t>
            </w:r>
            <w:r w:rsidRPr="00FD0EE2">
              <w:rPr>
                <w:sz w:val="24"/>
                <w:szCs w:val="24"/>
              </w:rPr>
              <w:t xml:space="preserve">  ILEC, CLEC</w:t>
            </w:r>
          </w:p>
          <w:p w14:paraId="3A9FA14E" w14:textId="77777777" w:rsidR="00E21BA8" w:rsidRPr="00E712F9" w:rsidRDefault="00E21BA8" w:rsidP="00232DC9">
            <w:pPr>
              <w:rPr>
                <w:sz w:val="24"/>
                <w:szCs w:val="24"/>
              </w:rPr>
            </w:pPr>
          </w:p>
          <w:p w14:paraId="18FBEF5A" w14:textId="77777777" w:rsidR="00E21BA8" w:rsidRPr="00E712F9" w:rsidRDefault="00E21BA8" w:rsidP="00E712F9">
            <w:pPr>
              <w:keepNext/>
              <w:keepLines/>
              <w:rPr>
                <w:b/>
                <w:sz w:val="24"/>
                <w:szCs w:val="24"/>
              </w:rPr>
            </w:pPr>
            <w:r w:rsidRPr="00E712F9">
              <w:rPr>
                <w:sz w:val="24"/>
                <w:szCs w:val="24"/>
              </w:rPr>
              <w:t>Carriers are required to file the Telecommunications Relay Service (TRS) Annual Tracking Report each year, which summarizes the TRS surcharge revenue that each carrier collects from their customers from March of the previous year through February of the current year.</w:t>
            </w:r>
          </w:p>
          <w:p w14:paraId="141A0426" w14:textId="77777777" w:rsidR="00E21BA8" w:rsidRPr="00E712F9" w:rsidRDefault="00E21BA8" w:rsidP="00E712F9">
            <w:pPr>
              <w:keepNext/>
              <w:keepLines/>
              <w:rPr>
                <w:b/>
                <w:sz w:val="24"/>
                <w:szCs w:val="24"/>
              </w:rPr>
            </w:pPr>
          </w:p>
          <w:p w14:paraId="451DDEFA" w14:textId="77777777" w:rsidR="00E21BA8" w:rsidRPr="00E712F9" w:rsidRDefault="00E21BA8" w:rsidP="00E712F9">
            <w:pPr>
              <w:keepNext/>
              <w:keepLines/>
              <w:rPr>
                <w:sz w:val="24"/>
                <w:szCs w:val="24"/>
              </w:rPr>
            </w:pPr>
            <w:r w:rsidRPr="00E712F9">
              <w:rPr>
                <w:b/>
                <w:sz w:val="24"/>
                <w:szCs w:val="24"/>
              </w:rPr>
              <w:t>Due Date:</w:t>
            </w:r>
            <w:r w:rsidR="00FD0EE2">
              <w:rPr>
                <w:b/>
                <w:sz w:val="24"/>
                <w:szCs w:val="24"/>
              </w:rPr>
              <w:t xml:space="preserve"> </w:t>
            </w:r>
            <w:r w:rsidRPr="00E712F9">
              <w:rPr>
                <w:sz w:val="24"/>
                <w:szCs w:val="24"/>
              </w:rPr>
              <w:t xml:space="preserve"> March 31</w:t>
            </w:r>
          </w:p>
          <w:p w14:paraId="25FFE700" w14:textId="77777777" w:rsidR="00E21BA8" w:rsidRPr="00E712F9" w:rsidRDefault="00E21BA8" w:rsidP="00232DC9">
            <w:pPr>
              <w:rPr>
                <w:b/>
                <w:sz w:val="24"/>
                <w:szCs w:val="24"/>
              </w:rPr>
            </w:pPr>
          </w:p>
        </w:tc>
        <w:tc>
          <w:tcPr>
            <w:tcW w:w="2520" w:type="dxa"/>
          </w:tcPr>
          <w:p w14:paraId="654DBE18" w14:textId="77777777" w:rsidR="00E21BA8" w:rsidRPr="007526D7" w:rsidRDefault="006F4018" w:rsidP="00382349">
            <w:pPr>
              <w:rPr>
                <w:sz w:val="24"/>
                <w:szCs w:val="24"/>
              </w:rPr>
            </w:pPr>
            <w:r>
              <w:rPr>
                <w:sz w:val="24"/>
                <w:szCs w:val="24"/>
              </w:rPr>
              <w:t>Melissa Lawrence</w:t>
            </w:r>
          </w:p>
          <w:p w14:paraId="7282896A" w14:textId="77777777" w:rsidR="00E21BA8" w:rsidRDefault="006F4018" w:rsidP="006259B2">
            <w:pPr>
              <w:rPr>
                <w:sz w:val="24"/>
                <w:szCs w:val="24"/>
              </w:rPr>
            </w:pPr>
            <w:r>
              <w:rPr>
                <w:sz w:val="24"/>
                <w:szCs w:val="24"/>
              </w:rPr>
              <w:t>(412</w:t>
            </w:r>
            <w:r w:rsidR="007526D7">
              <w:rPr>
                <w:sz w:val="24"/>
                <w:szCs w:val="24"/>
              </w:rPr>
              <w:t xml:space="preserve">) </w:t>
            </w:r>
            <w:r>
              <w:rPr>
                <w:sz w:val="24"/>
                <w:szCs w:val="24"/>
              </w:rPr>
              <w:t>423</w:t>
            </w:r>
            <w:r w:rsidR="00E21BA8" w:rsidRPr="007526D7">
              <w:rPr>
                <w:sz w:val="24"/>
                <w:szCs w:val="24"/>
              </w:rPr>
              <w:t>-</w:t>
            </w:r>
            <w:r>
              <w:rPr>
                <w:sz w:val="24"/>
                <w:szCs w:val="24"/>
              </w:rPr>
              <w:t>9308</w:t>
            </w:r>
          </w:p>
          <w:p w14:paraId="14DE9A87" w14:textId="77777777" w:rsidR="007526D7" w:rsidRDefault="00286B01" w:rsidP="006259B2">
            <w:pPr>
              <w:rPr>
                <w:sz w:val="24"/>
                <w:szCs w:val="24"/>
              </w:rPr>
            </w:pPr>
            <w:hyperlink r:id="rId10" w:history="1">
              <w:r w:rsidR="006F4018" w:rsidRPr="00DD1782">
                <w:rPr>
                  <w:rStyle w:val="Hyperlink"/>
                  <w:sz w:val="24"/>
                  <w:szCs w:val="24"/>
                </w:rPr>
                <w:t>mellawrenc@pa.gov</w:t>
              </w:r>
            </w:hyperlink>
          </w:p>
          <w:p w14:paraId="3ADAD9A0" w14:textId="77777777" w:rsidR="00E21BA8" w:rsidRPr="00E712F9" w:rsidRDefault="00E21BA8" w:rsidP="006259B2">
            <w:pPr>
              <w:rPr>
                <w:sz w:val="24"/>
                <w:szCs w:val="24"/>
              </w:rPr>
            </w:pPr>
            <w:r w:rsidRPr="007526D7">
              <w:rPr>
                <w:sz w:val="24"/>
                <w:szCs w:val="24"/>
              </w:rPr>
              <w:t>Bureau of Audits</w:t>
            </w:r>
          </w:p>
        </w:tc>
      </w:tr>
      <w:tr w:rsidR="00B15BDE" w:rsidRPr="00E712F9" w14:paraId="1C30985E" w14:textId="77777777" w:rsidTr="00E712F9">
        <w:trPr>
          <w:cantSplit/>
        </w:trPr>
        <w:tc>
          <w:tcPr>
            <w:tcW w:w="6889" w:type="dxa"/>
          </w:tcPr>
          <w:p w14:paraId="1E5DF85C" w14:textId="159EDBCA" w:rsidR="00B15BDE" w:rsidRPr="00E712F9" w:rsidRDefault="00B15BDE" w:rsidP="00B15BDE">
            <w:pPr>
              <w:rPr>
                <w:sz w:val="24"/>
                <w:szCs w:val="24"/>
              </w:rPr>
            </w:pPr>
            <w:r w:rsidRPr="00E712F9">
              <w:rPr>
                <w:b/>
                <w:sz w:val="24"/>
                <w:szCs w:val="24"/>
              </w:rPr>
              <w:lastRenderedPageBreak/>
              <w:t xml:space="preserve">Assessment Report </w:t>
            </w:r>
            <w:r>
              <w:rPr>
                <w:b/>
                <w:sz w:val="24"/>
                <w:szCs w:val="24"/>
              </w:rPr>
              <w:t>(Form GAO-1</w:t>
            </w:r>
            <w:r w:rsidR="00BD61BD">
              <w:rPr>
                <w:b/>
                <w:sz w:val="24"/>
                <w:szCs w:val="24"/>
              </w:rPr>
              <w:t>8</w:t>
            </w:r>
            <w:r w:rsidRPr="00240C77">
              <w:rPr>
                <w:b/>
                <w:sz w:val="24"/>
                <w:szCs w:val="24"/>
              </w:rPr>
              <w:t>)</w:t>
            </w:r>
            <w:r w:rsidRPr="00E712F9">
              <w:rPr>
                <w:sz w:val="24"/>
                <w:szCs w:val="24"/>
              </w:rPr>
              <w:t xml:space="preserve"> </w:t>
            </w:r>
            <w:r w:rsidRPr="00E712F9">
              <w:rPr>
                <w:b/>
                <w:sz w:val="24"/>
                <w:szCs w:val="24"/>
              </w:rPr>
              <w:t xml:space="preserve">(66 Pa. C.S. </w:t>
            </w:r>
            <w:r>
              <w:rPr>
                <w:b/>
                <w:sz w:val="24"/>
                <w:szCs w:val="24"/>
              </w:rPr>
              <w:t xml:space="preserve">§ </w:t>
            </w:r>
            <w:r w:rsidRPr="00E712F9">
              <w:rPr>
                <w:b/>
                <w:sz w:val="24"/>
                <w:szCs w:val="24"/>
              </w:rPr>
              <w:t>510(b))</w:t>
            </w:r>
          </w:p>
          <w:p w14:paraId="160DB39F" w14:textId="77777777" w:rsidR="00B15BDE" w:rsidRPr="00E712F9" w:rsidRDefault="00B15BDE" w:rsidP="00B15BDE">
            <w:pPr>
              <w:rPr>
                <w:b/>
                <w:sz w:val="24"/>
                <w:szCs w:val="24"/>
              </w:rPr>
            </w:pPr>
          </w:p>
          <w:p w14:paraId="26B09834" w14:textId="77777777" w:rsidR="00B15BDE" w:rsidRPr="00E712F9" w:rsidRDefault="00B15BDE" w:rsidP="00B15BDE">
            <w:pPr>
              <w:rPr>
                <w:sz w:val="24"/>
                <w:szCs w:val="24"/>
              </w:rPr>
            </w:pPr>
            <w:r w:rsidRPr="00E712F9">
              <w:rPr>
                <w:b/>
                <w:sz w:val="24"/>
                <w:szCs w:val="24"/>
              </w:rPr>
              <w:t>Carrier Type</w:t>
            </w:r>
            <w:r>
              <w:rPr>
                <w:b/>
                <w:sz w:val="24"/>
                <w:szCs w:val="24"/>
              </w:rPr>
              <w:t>s</w:t>
            </w:r>
            <w:r w:rsidRPr="00E712F9">
              <w:rPr>
                <w:b/>
                <w:sz w:val="24"/>
                <w:szCs w:val="24"/>
              </w:rPr>
              <w:t>:</w:t>
            </w:r>
            <w:r w:rsidRPr="00E712F9">
              <w:rPr>
                <w:sz w:val="24"/>
                <w:szCs w:val="24"/>
              </w:rPr>
              <w:t xml:space="preserve">  All</w:t>
            </w:r>
          </w:p>
          <w:p w14:paraId="5FCBDAA1" w14:textId="77777777" w:rsidR="00B15BDE" w:rsidRPr="00E712F9" w:rsidRDefault="00B15BDE" w:rsidP="00B15BDE">
            <w:pPr>
              <w:rPr>
                <w:b/>
                <w:sz w:val="24"/>
                <w:szCs w:val="24"/>
              </w:rPr>
            </w:pPr>
          </w:p>
          <w:p w14:paraId="2A8F473A" w14:textId="77777777" w:rsidR="00B15BDE" w:rsidRPr="00E712F9" w:rsidRDefault="00B15BDE" w:rsidP="00B15BDE">
            <w:pPr>
              <w:rPr>
                <w:sz w:val="24"/>
                <w:szCs w:val="24"/>
              </w:rPr>
            </w:pPr>
            <w:r w:rsidRPr="00E712F9">
              <w:rPr>
                <w:sz w:val="24"/>
                <w:szCs w:val="24"/>
              </w:rPr>
              <w:t>All jurisdictional public utilities must report gross intrastate operating revenues for the preceding calendar year.  A public utility is assessed its share based on its operating revenue for the year.</w:t>
            </w:r>
          </w:p>
          <w:p w14:paraId="55AC55C2" w14:textId="77777777" w:rsidR="00B15BDE" w:rsidRPr="00E712F9" w:rsidRDefault="00B15BDE" w:rsidP="00B15BDE">
            <w:pPr>
              <w:rPr>
                <w:sz w:val="24"/>
                <w:szCs w:val="24"/>
              </w:rPr>
            </w:pPr>
          </w:p>
          <w:p w14:paraId="4F62DD93" w14:textId="77777777" w:rsidR="00B15BDE" w:rsidRPr="00E712F9" w:rsidRDefault="00B15BDE" w:rsidP="00B15BDE">
            <w:pPr>
              <w:rPr>
                <w:sz w:val="24"/>
                <w:szCs w:val="24"/>
              </w:rPr>
            </w:pPr>
            <w:r w:rsidRPr="00E712F9">
              <w:rPr>
                <w:b/>
                <w:sz w:val="24"/>
                <w:szCs w:val="24"/>
              </w:rPr>
              <w:t>Due Date:</w:t>
            </w:r>
            <w:r w:rsidRPr="00E712F9">
              <w:rPr>
                <w:sz w:val="24"/>
                <w:szCs w:val="24"/>
              </w:rPr>
              <w:t xml:space="preserve"> </w:t>
            </w:r>
            <w:r>
              <w:rPr>
                <w:sz w:val="24"/>
                <w:szCs w:val="24"/>
              </w:rPr>
              <w:t xml:space="preserve"> March 31</w:t>
            </w:r>
          </w:p>
          <w:p w14:paraId="1EDB3209" w14:textId="77777777" w:rsidR="00B15BDE" w:rsidRPr="00E712F9" w:rsidRDefault="00B15BDE" w:rsidP="00B15BDE">
            <w:pPr>
              <w:rPr>
                <w:b/>
                <w:sz w:val="24"/>
                <w:szCs w:val="24"/>
              </w:rPr>
            </w:pPr>
          </w:p>
        </w:tc>
        <w:tc>
          <w:tcPr>
            <w:tcW w:w="2520" w:type="dxa"/>
          </w:tcPr>
          <w:p w14:paraId="5A1B50BE" w14:textId="77777777" w:rsidR="00B15BDE" w:rsidRDefault="00B15BDE" w:rsidP="00B15BDE">
            <w:pPr>
              <w:rPr>
                <w:sz w:val="24"/>
                <w:szCs w:val="24"/>
              </w:rPr>
            </w:pPr>
            <w:r>
              <w:rPr>
                <w:sz w:val="24"/>
                <w:szCs w:val="24"/>
              </w:rPr>
              <w:t>Cassi Pomeroy</w:t>
            </w:r>
          </w:p>
          <w:p w14:paraId="64F5822E" w14:textId="77777777" w:rsidR="00B15BDE" w:rsidRDefault="00286B01" w:rsidP="00B15BDE">
            <w:pPr>
              <w:rPr>
                <w:sz w:val="24"/>
                <w:szCs w:val="24"/>
              </w:rPr>
            </w:pPr>
            <w:hyperlink r:id="rId11" w:history="1">
              <w:r w:rsidR="00B15BDE" w:rsidRPr="006D4490">
                <w:rPr>
                  <w:rStyle w:val="Hyperlink"/>
                  <w:sz w:val="24"/>
                  <w:szCs w:val="24"/>
                </w:rPr>
                <w:t>capomeroy@pa.gov</w:t>
              </w:r>
            </w:hyperlink>
          </w:p>
          <w:p w14:paraId="399013E6" w14:textId="77777777" w:rsidR="00B15BDE" w:rsidRPr="00E712F9" w:rsidRDefault="00B15BDE" w:rsidP="00B15BDE">
            <w:pPr>
              <w:rPr>
                <w:sz w:val="24"/>
                <w:szCs w:val="24"/>
              </w:rPr>
            </w:pPr>
            <w:r w:rsidRPr="00E712F9">
              <w:rPr>
                <w:sz w:val="24"/>
                <w:szCs w:val="24"/>
              </w:rPr>
              <w:t xml:space="preserve">(717) </w:t>
            </w:r>
            <w:r>
              <w:rPr>
                <w:sz w:val="24"/>
                <w:szCs w:val="24"/>
              </w:rPr>
              <w:t>787-8612</w:t>
            </w:r>
          </w:p>
          <w:p w14:paraId="67583BB0" w14:textId="77777777" w:rsidR="00B15BDE" w:rsidRPr="00E712F9" w:rsidRDefault="00B15BDE" w:rsidP="00B15BDE">
            <w:pPr>
              <w:rPr>
                <w:i/>
                <w:sz w:val="24"/>
                <w:szCs w:val="24"/>
              </w:rPr>
            </w:pPr>
            <w:r w:rsidRPr="00E712F9">
              <w:rPr>
                <w:sz w:val="24"/>
                <w:szCs w:val="24"/>
              </w:rPr>
              <w:t>Bureau of Administr</w:t>
            </w:r>
            <w:r>
              <w:rPr>
                <w:sz w:val="24"/>
                <w:szCs w:val="24"/>
              </w:rPr>
              <w:t>ative Services</w:t>
            </w:r>
          </w:p>
          <w:p w14:paraId="3EF6C6AC" w14:textId="77777777" w:rsidR="00B15BDE" w:rsidRPr="00E712F9" w:rsidRDefault="00B15BDE" w:rsidP="00B15BDE">
            <w:pPr>
              <w:rPr>
                <w:sz w:val="24"/>
                <w:szCs w:val="24"/>
              </w:rPr>
            </w:pPr>
          </w:p>
        </w:tc>
      </w:tr>
      <w:tr w:rsidR="001455EB" w:rsidRPr="00E712F9" w14:paraId="098AFE7F" w14:textId="77777777" w:rsidTr="00E712F9">
        <w:trPr>
          <w:cantSplit/>
        </w:trPr>
        <w:tc>
          <w:tcPr>
            <w:tcW w:w="6889" w:type="dxa"/>
          </w:tcPr>
          <w:p w14:paraId="0F52067F" w14:textId="77777777" w:rsidR="001455EB" w:rsidRPr="00E712F9" w:rsidRDefault="001455EB" w:rsidP="001455EB">
            <w:pPr>
              <w:rPr>
                <w:b/>
                <w:sz w:val="24"/>
                <w:szCs w:val="24"/>
              </w:rPr>
            </w:pPr>
            <w:r>
              <w:rPr>
                <w:b/>
                <w:sz w:val="24"/>
                <w:szCs w:val="24"/>
              </w:rPr>
              <w:t>Lifeline Tracking Report (</w:t>
            </w:r>
            <w:r w:rsidRPr="0007174E">
              <w:rPr>
                <w:b/>
                <w:sz w:val="24"/>
                <w:szCs w:val="24"/>
              </w:rPr>
              <w:t>Docket No. M-00051871</w:t>
            </w:r>
            <w:r w:rsidRPr="00E712F9">
              <w:rPr>
                <w:b/>
                <w:sz w:val="24"/>
                <w:szCs w:val="24"/>
              </w:rPr>
              <w:t xml:space="preserve">) </w:t>
            </w:r>
          </w:p>
          <w:p w14:paraId="58D00064" w14:textId="77777777" w:rsidR="001455EB" w:rsidRPr="00E712F9" w:rsidRDefault="001455EB" w:rsidP="001455EB">
            <w:pPr>
              <w:rPr>
                <w:b/>
                <w:sz w:val="24"/>
                <w:szCs w:val="24"/>
              </w:rPr>
            </w:pPr>
          </w:p>
          <w:p w14:paraId="3EABD664" w14:textId="77777777" w:rsidR="001455EB" w:rsidRPr="00E712F9" w:rsidRDefault="001455EB" w:rsidP="001455EB">
            <w:pPr>
              <w:rPr>
                <w:sz w:val="24"/>
                <w:szCs w:val="24"/>
              </w:rPr>
            </w:pPr>
            <w:r w:rsidRPr="00E712F9">
              <w:rPr>
                <w:b/>
                <w:sz w:val="24"/>
                <w:szCs w:val="24"/>
              </w:rPr>
              <w:t>Carrier Type</w:t>
            </w:r>
            <w:r>
              <w:rPr>
                <w:b/>
                <w:sz w:val="24"/>
                <w:szCs w:val="24"/>
              </w:rPr>
              <w:t>s</w:t>
            </w:r>
            <w:r w:rsidRPr="00E712F9">
              <w:rPr>
                <w:b/>
                <w:sz w:val="24"/>
                <w:szCs w:val="24"/>
              </w:rPr>
              <w:t xml:space="preserve">: </w:t>
            </w:r>
            <w:r>
              <w:rPr>
                <w:b/>
                <w:sz w:val="24"/>
                <w:szCs w:val="24"/>
              </w:rPr>
              <w:t xml:space="preserve"> </w:t>
            </w:r>
            <w:r w:rsidRPr="00E712F9">
              <w:rPr>
                <w:sz w:val="24"/>
                <w:szCs w:val="24"/>
              </w:rPr>
              <w:t>Eligible Telecommunications Carriers (specific ILECs and CLECs) or LECs having Lifeline in their tariffs</w:t>
            </w:r>
          </w:p>
          <w:p w14:paraId="614CA0E7" w14:textId="77777777" w:rsidR="001455EB" w:rsidRPr="00E712F9" w:rsidRDefault="001455EB" w:rsidP="001455EB">
            <w:pPr>
              <w:rPr>
                <w:sz w:val="24"/>
                <w:szCs w:val="24"/>
              </w:rPr>
            </w:pPr>
          </w:p>
          <w:p w14:paraId="53C5B14F" w14:textId="77777777" w:rsidR="001455EB" w:rsidRPr="00E712F9" w:rsidRDefault="001455EB" w:rsidP="001455EB">
            <w:pPr>
              <w:rPr>
                <w:b/>
                <w:sz w:val="24"/>
                <w:szCs w:val="24"/>
              </w:rPr>
            </w:pPr>
            <w:r w:rsidRPr="00E712F9">
              <w:rPr>
                <w:sz w:val="24"/>
                <w:szCs w:val="24"/>
              </w:rPr>
              <w:t xml:space="preserve">Used by the Commission on an annual basis in order to monitor the LECs’ customer enrollment and funding levels in the statewide universal service programs.  </w:t>
            </w:r>
          </w:p>
          <w:p w14:paraId="622FF30C" w14:textId="77777777" w:rsidR="001455EB" w:rsidRPr="00E712F9" w:rsidRDefault="001455EB" w:rsidP="001455EB">
            <w:pPr>
              <w:rPr>
                <w:sz w:val="24"/>
                <w:szCs w:val="24"/>
              </w:rPr>
            </w:pPr>
          </w:p>
          <w:p w14:paraId="648BFAE9" w14:textId="77777777" w:rsidR="001455EB" w:rsidRPr="00E712F9" w:rsidRDefault="001455EB" w:rsidP="001455EB">
            <w:pPr>
              <w:rPr>
                <w:sz w:val="24"/>
                <w:szCs w:val="24"/>
              </w:rPr>
            </w:pPr>
            <w:r w:rsidRPr="00E712F9">
              <w:rPr>
                <w:b/>
                <w:sz w:val="24"/>
                <w:szCs w:val="24"/>
              </w:rPr>
              <w:t>Due Date:</w:t>
            </w:r>
            <w:r w:rsidRPr="00E712F9">
              <w:rPr>
                <w:sz w:val="24"/>
                <w:szCs w:val="24"/>
              </w:rPr>
              <w:t xml:space="preserve"> </w:t>
            </w:r>
            <w:r>
              <w:rPr>
                <w:sz w:val="24"/>
                <w:szCs w:val="24"/>
              </w:rPr>
              <w:t xml:space="preserve"> June 30</w:t>
            </w:r>
          </w:p>
          <w:p w14:paraId="69259788" w14:textId="77777777" w:rsidR="001455EB" w:rsidRPr="00E712F9" w:rsidRDefault="001455EB" w:rsidP="001455EB">
            <w:pPr>
              <w:rPr>
                <w:b/>
                <w:sz w:val="24"/>
                <w:szCs w:val="24"/>
              </w:rPr>
            </w:pPr>
          </w:p>
        </w:tc>
        <w:tc>
          <w:tcPr>
            <w:tcW w:w="2520" w:type="dxa"/>
          </w:tcPr>
          <w:p w14:paraId="30E34CEF" w14:textId="77777777" w:rsidR="001455EB" w:rsidRDefault="001455EB" w:rsidP="001455EB">
            <w:pPr>
              <w:rPr>
                <w:sz w:val="24"/>
                <w:szCs w:val="24"/>
              </w:rPr>
            </w:pPr>
            <w:r>
              <w:rPr>
                <w:sz w:val="24"/>
                <w:szCs w:val="24"/>
              </w:rPr>
              <w:t>Bobbi Anderson</w:t>
            </w:r>
          </w:p>
          <w:p w14:paraId="1B0B453E" w14:textId="77777777" w:rsidR="001455EB" w:rsidRDefault="00286B01" w:rsidP="001455EB">
            <w:pPr>
              <w:rPr>
                <w:sz w:val="24"/>
                <w:szCs w:val="24"/>
              </w:rPr>
            </w:pPr>
            <w:hyperlink r:id="rId12" w:history="1">
              <w:r w:rsidR="001455EB" w:rsidRPr="0002217F">
                <w:rPr>
                  <w:rStyle w:val="Hyperlink"/>
                  <w:sz w:val="24"/>
                  <w:szCs w:val="24"/>
                </w:rPr>
                <w:t>robertaand@pa.gov</w:t>
              </w:r>
            </w:hyperlink>
          </w:p>
          <w:p w14:paraId="1A6C1BE4" w14:textId="77777777" w:rsidR="001455EB" w:rsidRDefault="001455EB" w:rsidP="001455EB">
            <w:pPr>
              <w:rPr>
                <w:sz w:val="24"/>
                <w:szCs w:val="24"/>
              </w:rPr>
            </w:pPr>
            <w:r>
              <w:rPr>
                <w:sz w:val="24"/>
                <w:szCs w:val="24"/>
              </w:rPr>
              <w:t>(717) 783-5238</w:t>
            </w:r>
          </w:p>
          <w:p w14:paraId="21DBD51A" w14:textId="4C4A828A" w:rsidR="001455EB" w:rsidRPr="00E712F9" w:rsidRDefault="001455EB" w:rsidP="001455EB">
            <w:pPr>
              <w:rPr>
                <w:sz w:val="24"/>
                <w:szCs w:val="24"/>
              </w:rPr>
            </w:pPr>
            <w:r w:rsidRPr="00844B38">
              <w:rPr>
                <w:sz w:val="24"/>
                <w:szCs w:val="24"/>
              </w:rPr>
              <w:t>Bureau of Consumer Services</w:t>
            </w:r>
          </w:p>
        </w:tc>
      </w:tr>
      <w:tr w:rsidR="00B15BDE" w:rsidRPr="00E712F9" w14:paraId="60CA79D0" w14:textId="77777777" w:rsidTr="00E712F9">
        <w:trPr>
          <w:cantSplit/>
        </w:trPr>
        <w:tc>
          <w:tcPr>
            <w:tcW w:w="6889" w:type="dxa"/>
          </w:tcPr>
          <w:p w14:paraId="3451FC85" w14:textId="77777777" w:rsidR="00B15BDE" w:rsidRPr="00E712F9" w:rsidRDefault="00B15BDE" w:rsidP="00B15BDE">
            <w:pPr>
              <w:rPr>
                <w:b/>
                <w:sz w:val="24"/>
                <w:szCs w:val="24"/>
              </w:rPr>
            </w:pPr>
            <w:r>
              <w:rPr>
                <w:b/>
                <w:sz w:val="24"/>
                <w:szCs w:val="24"/>
              </w:rPr>
              <w:t>Public Utility</w:t>
            </w:r>
            <w:r w:rsidRPr="00E712F9">
              <w:rPr>
                <w:b/>
                <w:sz w:val="24"/>
                <w:szCs w:val="24"/>
              </w:rPr>
              <w:t xml:space="preserve"> Security Planning</w:t>
            </w:r>
            <w:r>
              <w:rPr>
                <w:b/>
                <w:sz w:val="24"/>
                <w:szCs w:val="24"/>
              </w:rPr>
              <w:t xml:space="preserve"> and Readiness</w:t>
            </w:r>
            <w:r w:rsidRPr="00E712F9">
              <w:rPr>
                <w:b/>
                <w:sz w:val="24"/>
                <w:szCs w:val="24"/>
              </w:rPr>
              <w:t xml:space="preserve"> Self-Certification</w:t>
            </w:r>
            <w:r>
              <w:rPr>
                <w:b/>
                <w:sz w:val="24"/>
                <w:szCs w:val="24"/>
              </w:rPr>
              <w:t xml:space="preserve"> Form</w:t>
            </w:r>
            <w:r w:rsidRPr="00E712F9">
              <w:rPr>
                <w:b/>
                <w:sz w:val="24"/>
                <w:szCs w:val="24"/>
              </w:rPr>
              <w:t xml:space="preserve"> (52 Pa.</w:t>
            </w:r>
            <w:r>
              <w:rPr>
                <w:b/>
                <w:sz w:val="24"/>
                <w:szCs w:val="24"/>
              </w:rPr>
              <w:t xml:space="preserve"> Code § 101.1 – § 101.</w:t>
            </w:r>
            <w:r w:rsidRPr="00E712F9">
              <w:rPr>
                <w:b/>
                <w:sz w:val="24"/>
                <w:szCs w:val="24"/>
              </w:rPr>
              <w:t>7)</w:t>
            </w:r>
          </w:p>
          <w:p w14:paraId="48513E80" w14:textId="77777777" w:rsidR="00B15BDE" w:rsidRDefault="00B15BDE" w:rsidP="00B15BDE">
            <w:pPr>
              <w:rPr>
                <w:sz w:val="24"/>
                <w:szCs w:val="24"/>
              </w:rPr>
            </w:pPr>
          </w:p>
          <w:p w14:paraId="6FD79993" w14:textId="77777777" w:rsidR="00B15BDE" w:rsidRDefault="00B15BDE" w:rsidP="00B15BDE">
            <w:pPr>
              <w:rPr>
                <w:sz w:val="24"/>
                <w:szCs w:val="24"/>
              </w:rPr>
            </w:pPr>
            <w:r w:rsidRPr="003E2970">
              <w:rPr>
                <w:b/>
                <w:sz w:val="24"/>
                <w:szCs w:val="24"/>
              </w:rPr>
              <w:t>Carrier Type</w:t>
            </w:r>
            <w:r>
              <w:rPr>
                <w:b/>
                <w:sz w:val="24"/>
                <w:szCs w:val="24"/>
              </w:rPr>
              <w:t>s</w:t>
            </w:r>
            <w:r w:rsidRPr="003E2970">
              <w:rPr>
                <w:b/>
                <w:sz w:val="24"/>
                <w:szCs w:val="24"/>
              </w:rPr>
              <w:t>:</w:t>
            </w:r>
            <w:r>
              <w:rPr>
                <w:sz w:val="24"/>
                <w:szCs w:val="24"/>
              </w:rPr>
              <w:t xml:space="preserve">  All</w:t>
            </w:r>
          </w:p>
          <w:p w14:paraId="3D2B9DE1" w14:textId="77777777" w:rsidR="00B15BDE" w:rsidRPr="00E712F9" w:rsidRDefault="00B15BDE" w:rsidP="00B15BDE">
            <w:pPr>
              <w:rPr>
                <w:sz w:val="24"/>
                <w:szCs w:val="24"/>
              </w:rPr>
            </w:pPr>
          </w:p>
          <w:p w14:paraId="4D5495C8" w14:textId="77777777" w:rsidR="00B15BDE" w:rsidRPr="00E712F9" w:rsidRDefault="00B15BDE" w:rsidP="00B15BDE">
            <w:pPr>
              <w:rPr>
                <w:sz w:val="24"/>
                <w:szCs w:val="24"/>
              </w:rPr>
            </w:pPr>
            <w:r w:rsidRPr="00E712F9">
              <w:rPr>
                <w:sz w:val="24"/>
                <w:szCs w:val="24"/>
              </w:rPr>
              <w:t>All jurisdictional utilities are req</w:t>
            </w:r>
            <w:r>
              <w:rPr>
                <w:sz w:val="24"/>
                <w:szCs w:val="24"/>
              </w:rPr>
              <w:t>uired to develop and maintain</w:t>
            </w:r>
            <w:r w:rsidRPr="00E712F9">
              <w:rPr>
                <w:sz w:val="24"/>
                <w:szCs w:val="24"/>
              </w:rPr>
              <w:t xml:space="preserve"> appropriate written physical security, cyber security, emergency response</w:t>
            </w:r>
            <w:r>
              <w:rPr>
                <w:sz w:val="24"/>
                <w:szCs w:val="24"/>
              </w:rPr>
              <w:t>,</w:t>
            </w:r>
            <w:r w:rsidRPr="00E712F9">
              <w:rPr>
                <w:sz w:val="24"/>
                <w:szCs w:val="24"/>
              </w:rPr>
              <w:t xml:space="preserve"> and business continuity plans to protect the intrastate infrastructure.  </w:t>
            </w:r>
            <w:r>
              <w:rPr>
                <w:sz w:val="24"/>
                <w:szCs w:val="24"/>
              </w:rPr>
              <w:t>All utilities must fill out the form and mail it</w:t>
            </w:r>
            <w:r w:rsidRPr="00AE165E">
              <w:rPr>
                <w:sz w:val="24"/>
                <w:szCs w:val="24"/>
              </w:rPr>
              <w:t xml:space="preserve"> to </w:t>
            </w:r>
            <w:r>
              <w:rPr>
                <w:sz w:val="24"/>
                <w:szCs w:val="24"/>
              </w:rPr>
              <w:t>the Secretary of the Commission (with attention to Doreen Trout) by February 28</w:t>
            </w:r>
            <w:r w:rsidRPr="00AE165E">
              <w:rPr>
                <w:sz w:val="24"/>
                <w:szCs w:val="24"/>
                <w:vertAlign w:val="superscript"/>
              </w:rPr>
              <w:t>th</w:t>
            </w:r>
            <w:r>
              <w:rPr>
                <w:sz w:val="24"/>
                <w:szCs w:val="24"/>
              </w:rPr>
              <w:t>.</w:t>
            </w:r>
            <w:r w:rsidRPr="00AE165E">
              <w:rPr>
                <w:sz w:val="24"/>
                <w:szCs w:val="24"/>
              </w:rPr>
              <w:t xml:space="preserve">  The forms may no longer be emailed to the Commission due to security concerns.</w:t>
            </w:r>
          </w:p>
          <w:p w14:paraId="4102F9B7" w14:textId="77777777" w:rsidR="00B15BDE" w:rsidRPr="00E712F9" w:rsidRDefault="00B15BDE" w:rsidP="00B15BDE">
            <w:pPr>
              <w:rPr>
                <w:sz w:val="24"/>
                <w:szCs w:val="24"/>
              </w:rPr>
            </w:pPr>
          </w:p>
          <w:p w14:paraId="2A32B613" w14:textId="77777777" w:rsidR="00B15BDE" w:rsidRPr="00E712F9" w:rsidRDefault="00B15BDE" w:rsidP="00B15BDE">
            <w:pPr>
              <w:rPr>
                <w:sz w:val="24"/>
                <w:szCs w:val="24"/>
              </w:rPr>
            </w:pPr>
            <w:r w:rsidRPr="00E712F9">
              <w:rPr>
                <w:b/>
                <w:sz w:val="24"/>
                <w:szCs w:val="24"/>
              </w:rPr>
              <w:t xml:space="preserve">Due Date: </w:t>
            </w:r>
            <w:r>
              <w:rPr>
                <w:sz w:val="24"/>
                <w:szCs w:val="24"/>
              </w:rPr>
              <w:t xml:space="preserve"> February 28</w:t>
            </w:r>
          </w:p>
          <w:p w14:paraId="767FD383" w14:textId="77777777" w:rsidR="00B15BDE" w:rsidRPr="00E712F9" w:rsidRDefault="00B15BDE" w:rsidP="00B15BDE">
            <w:pPr>
              <w:rPr>
                <w:b/>
                <w:sz w:val="24"/>
                <w:szCs w:val="24"/>
              </w:rPr>
            </w:pPr>
            <w:r w:rsidRPr="00E712F9">
              <w:rPr>
                <w:b/>
                <w:sz w:val="24"/>
                <w:szCs w:val="24"/>
              </w:rPr>
              <w:t xml:space="preserve"> </w:t>
            </w:r>
          </w:p>
        </w:tc>
        <w:tc>
          <w:tcPr>
            <w:tcW w:w="2520" w:type="dxa"/>
          </w:tcPr>
          <w:p w14:paraId="20E235EA" w14:textId="77777777" w:rsidR="00B15BDE" w:rsidRDefault="00B15BDE" w:rsidP="00B15BDE">
            <w:pPr>
              <w:rPr>
                <w:sz w:val="24"/>
                <w:szCs w:val="24"/>
              </w:rPr>
            </w:pPr>
            <w:r>
              <w:rPr>
                <w:sz w:val="24"/>
                <w:szCs w:val="24"/>
              </w:rPr>
              <w:t>Derek Ruhl</w:t>
            </w:r>
          </w:p>
          <w:p w14:paraId="213B0616" w14:textId="77777777" w:rsidR="00B15BDE" w:rsidRPr="00173596" w:rsidRDefault="00286B01" w:rsidP="00B15BDE">
            <w:pPr>
              <w:rPr>
                <w:sz w:val="24"/>
                <w:szCs w:val="24"/>
              </w:rPr>
            </w:pPr>
            <w:hyperlink r:id="rId13" w:history="1">
              <w:r w:rsidR="00B15BDE" w:rsidRPr="006D4490">
                <w:rPr>
                  <w:rStyle w:val="Hyperlink"/>
                  <w:sz w:val="24"/>
                  <w:szCs w:val="24"/>
                </w:rPr>
                <w:t>druhl@pa.gov</w:t>
              </w:r>
            </w:hyperlink>
          </w:p>
          <w:p w14:paraId="706536AE" w14:textId="77777777" w:rsidR="00B15BDE" w:rsidRPr="00E712F9" w:rsidRDefault="00B15BDE" w:rsidP="00B15BDE">
            <w:pPr>
              <w:rPr>
                <w:sz w:val="24"/>
                <w:szCs w:val="24"/>
              </w:rPr>
            </w:pPr>
            <w:r>
              <w:rPr>
                <w:sz w:val="24"/>
                <w:szCs w:val="24"/>
              </w:rPr>
              <w:t>(717) 787</w:t>
            </w:r>
            <w:r w:rsidRPr="00E712F9">
              <w:rPr>
                <w:sz w:val="24"/>
                <w:szCs w:val="24"/>
              </w:rPr>
              <w:t>-</w:t>
            </w:r>
            <w:r>
              <w:rPr>
                <w:sz w:val="24"/>
                <w:szCs w:val="24"/>
              </w:rPr>
              <w:t>7904</w:t>
            </w:r>
          </w:p>
          <w:p w14:paraId="75EFB65B" w14:textId="77777777" w:rsidR="00B15BDE" w:rsidRPr="00E712F9" w:rsidRDefault="00B15BDE" w:rsidP="00B15BDE">
            <w:pPr>
              <w:rPr>
                <w:sz w:val="24"/>
                <w:szCs w:val="24"/>
              </w:rPr>
            </w:pPr>
            <w:r>
              <w:rPr>
                <w:sz w:val="24"/>
                <w:szCs w:val="24"/>
              </w:rPr>
              <w:t>Bureau of Technical</w:t>
            </w:r>
            <w:r w:rsidRPr="00E712F9">
              <w:rPr>
                <w:sz w:val="24"/>
                <w:szCs w:val="24"/>
              </w:rPr>
              <w:t xml:space="preserve"> Utility Service</w:t>
            </w:r>
            <w:r>
              <w:rPr>
                <w:sz w:val="24"/>
                <w:szCs w:val="24"/>
              </w:rPr>
              <w:t>s</w:t>
            </w:r>
          </w:p>
          <w:p w14:paraId="0833B8B9" w14:textId="77777777" w:rsidR="00B15BDE" w:rsidRPr="00E712F9" w:rsidRDefault="00B15BDE" w:rsidP="00B15BDE">
            <w:pPr>
              <w:rPr>
                <w:sz w:val="24"/>
                <w:szCs w:val="24"/>
              </w:rPr>
            </w:pPr>
          </w:p>
          <w:p w14:paraId="434247D4" w14:textId="77777777" w:rsidR="00B15BDE" w:rsidRPr="00E712F9" w:rsidRDefault="00B15BDE" w:rsidP="00B15BDE">
            <w:pPr>
              <w:rPr>
                <w:sz w:val="24"/>
                <w:szCs w:val="24"/>
              </w:rPr>
            </w:pPr>
            <w:r w:rsidRPr="00E712F9">
              <w:rPr>
                <w:sz w:val="24"/>
                <w:szCs w:val="24"/>
              </w:rPr>
              <w:t xml:space="preserve"> </w:t>
            </w:r>
          </w:p>
        </w:tc>
      </w:tr>
      <w:tr w:rsidR="00B15BDE" w:rsidRPr="00E712F9" w14:paraId="2473DB92" w14:textId="77777777" w:rsidTr="00E712F9">
        <w:trPr>
          <w:cantSplit/>
        </w:trPr>
        <w:tc>
          <w:tcPr>
            <w:tcW w:w="6889" w:type="dxa"/>
          </w:tcPr>
          <w:p w14:paraId="52B00CAF" w14:textId="77777777" w:rsidR="00B15BDE" w:rsidRPr="00E712F9" w:rsidRDefault="00B15BDE" w:rsidP="00B15BDE">
            <w:pPr>
              <w:rPr>
                <w:b/>
                <w:sz w:val="24"/>
                <w:szCs w:val="24"/>
              </w:rPr>
            </w:pPr>
            <w:r w:rsidRPr="00E712F9">
              <w:rPr>
                <w:b/>
                <w:sz w:val="24"/>
                <w:szCs w:val="24"/>
              </w:rPr>
              <w:t xml:space="preserve">Service Outages (52 </w:t>
            </w:r>
            <w:smartTag w:uri="urn:schemas-microsoft-com:office:smarttags" w:element="place">
              <w:smartTag w:uri="urn:schemas-microsoft-com:office:smarttags" w:element="State">
                <w:r w:rsidRPr="00E712F9">
                  <w:rPr>
                    <w:b/>
                    <w:sz w:val="24"/>
                    <w:szCs w:val="24"/>
                  </w:rPr>
                  <w:t>Pa.</w:t>
                </w:r>
              </w:smartTag>
            </w:smartTag>
            <w:r w:rsidRPr="00E712F9">
              <w:rPr>
                <w:b/>
                <w:sz w:val="24"/>
                <w:szCs w:val="24"/>
              </w:rPr>
              <w:t xml:space="preserve"> Code </w:t>
            </w:r>
            <w:r>
              <w:rPr>
                <w:b/>
                <w:sz w:val="24"/>
                <w:szCs w:val="24"/>
              </w:rPr>
              <w:t xml:space="preserve">§ </w:t>
            </w:r>
            <w:r w:rsidRPr="00E712F9">
              <w:rPr>
                <w:b/>
                <w:sz w:val="24"/>
                <w:szCs w:val="24"/>
              </w:rPr>
              <w:t>67.1)</w:t>
            </w:r>
          </w:p>
          <w:p w14:paraId="46E37389" w14:textId="77777777" w:rsidR="00B15BDE" w:rsidRPr="00E712F9" w:rsidRDefault="00B15BDE" w:rsidP="00B15BDE">
            <w:pPr>
              <w:rPr>
                <w:b/>
                <w:sz w:val="24"/>
                <w:szCs w:val="24"/>
              </w:rPr>
            </w:pPr>
          </w:p>
          <w:p w14:paraId="1ED42012" w14:textId="77777777" w:rsidR="00B15BDE" w:rsidRPr="00E712F9" w:rsidRDefault="00B15BDE" w:rsidP="00B15BDE">
            <w:pPr>
              <w:rPr>
                <w:sz w:val="24"/>
                <w:szCs w:val="24"/>
              </w:rPr>
            </w:pPr>
            <w:r w:rsidRPr="00E712F9">
              <w:rPr>
                <w:b/>
                <w:sz w:val="24"/>
                <w:szCs w:val="24"/>
              </w:rPr>
              <w:t>Carrier Type</w:t>
            </w:r>
            <w:r>
              <w:rPr>
                <w:b/>
                <w:sz w:val="24"/>
                <w:szCs w:val="24"/>
              </w:rPr>
              <w:t>s</w:t>
            </w:r>
            <w:r w:rsidRPr="00E712F9">
              <w:rPr>
                <w:b/>
                <w:sz w:val="24"/>
                <w:szCs w:val="24"/>
              </w:rPr>
              <w:t>:</w:t>
            </w:r>
            <w:r w:rsidRPr="00E712F9">
              <w:rPr>
                <w:sz w:val="24"/>
                <w:szCs w:val="24"/>
              </w:rPr>
              <w:t xml:space="preserve">  All</w:t>
            </w:r>
          </w:p>
          <w:p w14:paraId="4ADF0916" w14:textId="77777777" w:rsidR="00B15BDE" w:rsidRPr="00E712F9" w:rsidRDefault="00B15BDE" w:rsidP="00B15BDE">
            <w:pPr>
              <w:rPr>
                <w:sz w:val="24"/>
                <w:szCs w:val="24"/>
              </w:rPr>
            </w:pPr>
          </w:p>
          <w:p w14:paraId="696C73D2" w14:textId="77777777" w:rsidR="00B15BDE" w:rsidRPr="00E712F9" w:rsidRDefault="00B15BDE" w:rsidP="00B15BDE">
            <w:pPr>
              <w:rPr>
                <w:sz w:val="24"/>
                <w:szCs w:val="24"/>
              </w:rPr>
            </w:pPr>
            <w:r w:rsidRPr="00E712F9">
              <w:rPr>
                <w:sz w:val="24"/>
                <w:szCs w:val="24"/>
              </w:rPr>
              <w:t xml:space="preserve">All public utilities must notify the Commission when </w:t>
            </w:r>
            <w:r w:rsidRPr="00E712F9">
              <w:rPr>
                <w:b/>
                <w:sz w:val="24"/>
                <w:szCs w:val="24"/>
              </w:rPr>
              <w:t>2,500 or 5.0%,</w:t>
            </w:r>
            <w:r w:rsidRPr="00E712F9">
              <w:rPr>
                <w:sz w:val="24"/>
                <w:szCs w:val="24"/>
              </w:rPr>
              <w:t xml:space="preserve"> whichever is less, of their total customers have a service interruption in a single incident for six or more consecutive hours.</w:t>
            </w:r>
          </w:p>
          <w:p w14:paraId="00A42F89" w14:textId="77777777" w:rsidR="00B15BDE" w:rsidRPr="00E712F9" w:rsidRDefault="00B15BDE" w:rsidP="00B15BDE">
            <w:pPr>
              <w:rPr>
                <w:sz w:val="24"/>
                <w:szCs w:val="24"/>
              </w:rPr>
            </w:pPr>
          </w:p>
          <w:p w14:paraId="35C051FE" w14:textId="77777777" w:rsidR="00B15BDE" w:rsidRPr="00E712F9" w:rsidRDefault="00B15BDE" w:rsidP="00B15BDE">
            <w:pPr>
              <w:rPr>
                <w:sz w:val="24"/>
                <w:szCs w:val="24"/>
              </w:rPr>
            </w:pPr>
            <w:r w:rsidRPr="00E712F9">
              <w:rPr>
                <w:b/>
                <w:sz w:val="24"/>
                <w:szCs w:val="24"/>
              </w:rPr>
              <w:t>Due Date:</w:t>
            </w:r>
            <w:r>
              <w:rPr>
                <w:sz w:val="24"/>
                <w:szCs w:val="24"/>
              </w:rPr>
              <w:t xml:space="preserve">  Within ten</w:t>
            </w:r>
            <w:r w:rsidRPr="00E712F9">
              <w:rPr>
                <w:sz w:val="24"/>
                <w:szCs w:val="24"/>
              </w:rPr>
              <w:t xml:space="preserve"> working days after the total restoration of service.</w:t>
            </w:r>
          </w:p>
          <w:p w14:paraId="2E165218" w14:textId="77777777" w:rsidR="00B15BDE" w:rsidRPr="00E712F9" w:rsidRDefault="00B15BDE" w:rsidP="00B15BDE">
            <w:pPr>
              <w:rPr>
                <w:b/>
                <w:sz w:val="24"/>
                <w:szCs w:val="24"/>
              </w:rPr>
            </w:pPr>
          </w:p>
        </w:tc>
        <w:tc>
          <w:tcPr>
            <w:tcW w:w="2520" w:type="dxa"/>
          </w:tcPr>
          <w:p w14:paraId="29583956" w14:textId="77777777" w:rsidR="00B15BDE" w:rsidRDefault="00B15BDE" w:rsidP="00B15BDE">
            <w:pPr>
              <w:rPr>
                <w:sz w:val="24"/>
                <w:szCs w:val="24"/>
              </w:rPr>
            </w:pPr>
            <w:r>
              <w:rPr>
                <w:sz w:val="24"/>
                <w:szCs w:val="24"/>
              </w:rPr>
              <w:t>Derek Ruhl</w:t>
            </w:r>
          </w:p>
          <w:p w14:paraId="389C712F" w14:textId="77777777" w:rsidR="00B15BDE" w:rsidRPr="00173596" w:rsidRDefault="00286B01" w:rsidP="00B15BDE">
            <w:pPr>
              <w:rPr>
                <w:sz w:val="24"/>
                <w:szCs w:val="24"/>
              </w:rPr>
            </w:pPr>
            <w:hyperlink r:id="rId14" w:history="1">
              <w:r w:rsidR="00B15BDE" w:rsidRPr="006D4490">
                <w:rPr>
                  <w:rStyle w:val="Hyperlink"/>
                  <w:sz w:val="24"/>
                  <w:szCs w:val="24"/>
                </w:rPr>
                <w:t>druhl@pa.gov</w:t>
              </w:r>
            </w:hyperlink>
          </w:p>
          <w:p w14:paraId="64AEE2DA" w14:textId="77777777" w:rsidR="00B15BDE" w:rsidRPr="00E712F9" w:rsidRDefault="00B15BDE" w:rsidP="00B15BDE">
            <w:pPr>
              <w:rPr>
                <w:sz w:val="24"/>
                <w:szCs w:val="24"/>
              </w:rPr>
            </w:pPr>
            <w:r>
              <w:rPr>
                <w:sz w:val="24"/>
                <w:szCs w:val="24"/>
              </w:rPr>
              <w:t>(717) 787</w:t>
            </w:r>
            <w:r w:rsidRPr="00E712F9">
              <w:rPr>
                <w:sz w:val="24"/>
                <w:szCs w:val="24"/>
              </w:rPr>
              <w:t>-</w:t>
            </w:r>
            <w:r>
              <w:rPr>
                <w:sz w:val="24"/>
                <w:szCs w:val="24"/>
              </w:rPr>
              <w:t>7904</w:t>
            </w:r>
          </w:p>
          <w:p w14:paraId="2441A9AD" w14:textId="77777777" w:rsidR="00B15BDE" w:rsidRPr="00E712F9" w:rsidRDefault="00B15BDE" w:rsidP="00B15BDE">
            <w:pPr>
              <w:rPr>
                <w:sz w:val="24"/>
                <w:szCs w:val="24"/>
              </w:rPr>
            </w:pPr>
            <w:r>
              <w:rPr>
                <w:sz w:val="24"/>
                <w:szCs w:val="24"/>
              </w:rPr>
              <w:t>Bureau of Technical</w:t>
            </w:r>
            <w:r w:rsidRPr="00E712F9">
              <w:rPr>
                <w:sz w:val="24"/>
                <w:szCs w:val="24"/>
              </w:rPr>
              <w:t xml:space="preserve"> Utility Service</w:t>
            </w:r>
            <w:r>
              <w:rPr>
                <w:sz w:val="24"/>
                <w:szCs w:val="24"/>
              </w:rPr>
              <w:t>s</w:t>
            </w:r>
          </w:p>
          <w:p w14:paraId="06171B95" w14:textId="77777777" w:rsidR="00B15BDE" w:rsidRPr="00E712F9" w:rsidRDefault="00B15BDE" w:rsidP="00B15BDE">
            <w:pPr>
              <w:rPr>
                <w:sz w:val="24"/>
                <w:szCs w:val="24"/>
              </w:rPr>
            </w:pPr>
          </w:p>
          <w:p w14:paraId="3F89CC6A" w14:textId="77777777" w:rsidR="00B15BDE" w:rsidRPr="00E712F9" w:rsidRDefault="00B15BDE" w:rsidP="00B15BDE">
            <w:pPr>
              <w:rPr>
                <w:sz w:val="24"/>
                <w:szCs w:val="24"/>
              </w:rPr>
            </w:pPr>
            <w:r w:rsidRPr="00E712F9">
              <w:rPr>
                <w:sz w:val="24"/>
                <w:szCs w:val="24"/>
              </w:rPr>
              <w:t xml:space="preserve"> </w:t>
            </w:r>
          </w:p>
        </w:tc>
      </w:tr>
      <w:tr w:rsidR="001455EB" w:rsidRPr="00E712F9" w14:paraId="7E9E6616" w14:textId="77777777" w:rsidTr="00E712F9">
        <w:trPr>
          <w:cantSplit/>
        </w:trPr>
        <w:tc>
          <w:tcPr>
            <w:tcW w:w="6889" w:type="dxa"/>
          </w:tcPr>
          <w:p w14:paraId="0BBB3A72" w14:textId="77777777" w:rsidR="001455EB" w:rsidRPr="00E712F9" w:rsidRDefault="001455EB" w:rsidP="001455EB">
            <w:pPr>
              <w:rPr>
                <w:b/>
                <w:sz w:val="24"/>
                <w:szCs w:val="24"/>
                <w:u w:val="single"/>
              </w:rPr>
            </w:pPr>
            <w:r w:rsidRPr="00E712F9">
              <w:rPr>
                <w:b/>
                <w:sz w:val="24"/>
                <w:szCs w:val="24"/>
              </w:rPr>
              <w:lastRenderedPageBreak/>
              <w:t xml:space="preserve">Service Report of Residential Account Information (52 </w:t>
            </w:r>
            <w:smartTag w:uri="urn:schemas-microsoft-com:office:smarttags" w:element="place">
              <w:smartTag w:uri="urn:schemas-microsoft-com:office:smarttags" w:element="State">
                <w:r w:rsidRPr="00E712F9">
                  <w:rPr>
                    <w:b/>
                    <w:sz w:val="24"/>
                    <w:szCs w:val="24"/>
                  </w:rPr>
                  <w:t>Pa.</w:t>
                </w:r>
              </w:smartTag>
            </w:smartTag>
            <w:r w:rsidRPr="00E712F9">
              <w:rPr>
                <w:b/>
                <w:sz w:val="24"/>
                <w:szCs w:val="24"/>
              </w:rPr>
              <w:t xml:space="preserve"> Code </w:t>
            </w:r>
            <w:r>
              <w:rPr>
                <w:b/>
                <w:sz w:val="24"/>
                <w:szCs w:val="24"/>
              </w:rPr>
              <w:t xml:space="preserve">§ </w:t>
            </w:r>
            <w:r w:rsidRPr="00E712F9">
              <w:rPr>
                <w:b/>
                <w:sz w:val="24"/>
                <w:szCs w:val="24"/>
              </w:rPr>
              <w:t>64.201</w:t>
            </w:r>
            <w:r w:rsidRPr="00F97118">
              <w:rPr>
                <w:b/>
                <w:sz w:val="24"/>
                <w:szCs w:val="24"/>
              </w:rPr>
              <w:t>)</w:t>
            </w:r>
          </w:p>
          <w:p w14:paraId="28BDE90E" w14:textId="77777777" w:rsidR="001455EB" w:rsidRPr="00E712F9" w:rsidRDefault="001455EB" w:rsidP="001455EB">
            <w:pPr>
              <w:rPr>
                <w:b/>
                <w:sz w:val="24"/>
                <w:szCs w:val="24"/>
                <w:u w:val="single"/>
              </w:rPr>
            </w:pPr>
          </w:p>
          <w:p w14:paraId="18A2760F" w14:textId="77777777" w:rsidR="001455EB" w:rsidRPr="00E712F9" w:rsidRDefault="001455EB" w:rsidP="001455EB">
            <w:pPr>
              <w:keepNext/>
              <w:keepLines/>
              <w:rPr>
                <w:sz w:val="24"/>
                <w:szCs w:val="24"/>
              </w:rPr>
            </w:pPr>
            <w:r w:rsidRPr="00E712F9">
              <w:rPr>
                <w:b/>
                <w:sz w:val="24"/>
                <w:szCs w:val="24"/>
              </w:rPr>
              <w:t>Carrier Type</w:t>
            </w:r>
            <w:r>
              <w:rPr>
                <w:b/>
                <w:sz w:val="24"/>
                <w:szCs w:val="24"/>
              </w:rPr>
              <w:t>s</w:t>
            </w:r>
            <w:r w:rsidRPr="00E712F9">
              <w:rPr>
                <w:b/>
                <w:sz w:val="24"/>
                <w:szCs w:val="24"/>
              </w:rPr>
              <w:t xml:space="preserve">: </w:t>
            </w:r>
            <w:r>
              <w:rPr>
                <w:b/>
                <w:sz w:val="24"/>
                <w:szCs w:val="24"/>
              </w:rPr>
              <w:t xml:space="preserve"> </w:t>
            </w:r>
            <w:r w:rsidRPr="00E712F9">
              <w:rPr>
                <w:sz w:val="24"/>
                <w:szCs w:val="24"/>
              </w:rPr>
              <w:t>ILEC, CLEC</w:t>
            </w:r>
          </w:p>
          <w:p w14:paraId="2B97EB3A" w14:textId="77777777" w:rsidR="001455EB" w:rsidRPr="00E712F9" w:rsidRDefault="001455EB" w:rsidP="001455EB">
            <w:pPr>
              <w:keepNext/>
              <w:keepLines/>
              <w:rPr>
                <w:sz w:val="24"/>
                <w:szCs w:val="24"/>
              </w:rPr>
            </w:pPr>
          </w:p>
          <w:p w14:paraId="7E27D85F" w14:textId="77777777" w:rsidR="001455EB" w:rsidRPr="00E712F9" w:rsidRDefault="001455EB" w:rsidP="001455EB">
            <w:pPr>
              <w:keepNext/>
              <w:keepLines/>
              <w:rPr>
                <w:sz w:val="24"/>
                <w:szCs w:val="24"/>
              </w:rPr>
            </w:pPr>
            <w:r w:rsidRPr="00E712F9">
              <w:rPr>
                <w:sz w:val="24"/>
                <w:szCs w:val="24"/>
              </w:rPr>
              <w:t xml:space="preserve">Annual report containing residential account information as listed in </w:t>
            </w:r>
            <w:r>
              <w:rPr>
                <w:sz w:val="24"/>
                <w:szCs w:val="24"/>
              </w:rPr>
              <w:t xml:space="preserve">§ </w:t>
            </w:r>
            <w:r w:rsidRPr="00E712F9">
              <w:rPr>
                <w:sz w:val="24"/>
                <w:szCs w:val="24"/>
              </w:rPr>
              <w:t>64.201(c) for the previous year.</w:t>
            </w:r>
          </w:p>
          <w:p w14:paraId="59A4BF94" w14:textId="77777777" w:rsidR="001455EB" w:rsidRPr="00E712F9" w:rsidRDefault="001455EB" w:rsidP="001455EB">
            <w:pPr>
              <w:keepNext/>
              <w:keepLines/>
              <w:rPr>
                <w:sz w:val="24"/>
                <w:szCs w:val="24"/>
              </w:rPr>
            </w:pPr>
          </w:p>
          <w:p w14:paraId="20566F67" w14:textId="77777777" w:rsidR="001455EB" w:rsidRPr="00E712F9" w:rsidRDefault="001455EB" w:rsidP="001455EB">
            <w:pPr>
              <w:keepNext/>
              <w:keepLines/>
              <w:rPr>
                <w:sz w:val="24"/>
                <w:szCs w:val="24"/>
              </w:rPr>
            </w:pPr>
            <w:r w:rsidRPr="00E712F9">
              <w:rPr>
                <w:b/>
                <w:sz w:val="24"/>
                <w:szCs w:val="24"/>
              </w:rPr>
              <w:t>Due Date:</w:t>
            </w:r>
            <w:r w:rsidRPr="00E712F9">
              <w:rPr>
                <w:sz w:val="24"/>
                <w:szCs w:val="24"/>
              </w:rPr>
              <w:t xml:space="preserve"> </w:t>
            </w:r>
            <w:r>
              <w:rPr>
                <w:sz w:val="24"/>
                <w:szCs w:val="24"/>
              </w:rPr>
              <w:t xml:space="preserve"> </w:t>
            </w:r>
            <w:r w:rsidRPr="00E712F9">
              <w:rPr>
                <w:sz w:val="24"/>
                <w:szCs w:val="24"/>
              </w:rPr>
              <w:t>90 days after the end of each calendar year.</w:t>
            </w:r>
          </w:p>
          <w:p w14:paraId="2EFC85B4" w14:textId="77777777" w:rsidR="001455EB" w:rsidRPr="00E712F9" w:rsidRDefault="001455EB" w:rsidP="001455EB">
            <w:pPr>
              <w:keepNext/>
              <w:keepLines/>
              <w:rPr>
                <w:sz w:val="24"/>
                <w:szCs w:val="24"/>
              </w:rPr>
            </w:pPr>
          </w:p>
        </w:tc>
        <w:tc>
          <w:tcPr>
            <w:tcW w:w="2520" w:type="dxa"/>
          </w:tcPr>
          <w:p w14:paraId="31E692E6" w14:textId="77777777" w:rsidR="001455EB" w:rsidRPr="00046603" w:rsidRDefault="001455EB" w:rsidP="001455EB">
            <w:pPr>
              <w:pStyle w:val="Heading1"/>
              <w:ind w:left="0"/>
              <w:rPr>
                <w:sz w:val="24"/>
                <w:szCs w:val="24"/>
              </w:rPr>
            </w:pPr>
            <w:r w:rsidRPr="00046603">
              <w:rPr>
                <w:sz w:val="24"/>
                <w:szCs w:val="24"/>
              </w:rPr>
              <w:t>Theresa Mingarell</w:t>
            </w:r>
          </w:p>
          <w:p w14:paraId="759E5433" w14:textId="77777777" w:rsidR="001455EB" w:rsidRPr="003F332B" w:rsidRDefault="00286B01" w:rsidP="001455EB">
            <w:pPr>
              <w:rPr>
                <w:sz w:val="24"/>
                <w:szCs w:val="24"/>
              </w:rPr>
            </w:pPr>
            <w:hyperlink r:id="rId15" w:history="1">
              <w:r w:rsidR="001455EB" w:rsidRPr="003F332B">
                <w:rPr>
                  <w:rStyle w:val="Hyperlink"/>
                  <w:sz w:val="24"/>
                  <w:szCs w:val="24"/>
                </w:rPr>
                <w:t>tmingarell@pa.gov</w:t>
              </w:r>
            </w:hyperlink>
          </w:p>
          <w:p w14:paraId="56110FC7" w14:textId="77777777" w:rsidR="001455EB" w:rsidRPr="00046603" w:rsidRDefault="001455EB" w:rsidP="001455EB">
            <w:pPr>
              <w:rPr>
                <w:sz w:val="24"/>
                <w:szCs w:val="24"/>
              </w:rPr>
            </w:pPr>
            <w:r w:rsidRPr="003F332B">
              <w:rPr>
                <w:sz w:val="24"/>
                <w:szCs w:val="24"/>
              </w:rPr>
              <w:t xml:space="preserve">(717) </w:t>
            </w:r>
            <w:r>
              <w:rPr>
                <w:sz w:val="24"/>
                <w:szCs w:val="24"/>
              </w:rPr>
              <w:t>783-3232</w:t>
            </w:r>
            <w:r w:rsidRPr="00046603">
              <w:rPr>
                <w:sz w:val="24"/>
                <w:szCs w:val="24"/>
              </w:rPr>
              <w:t xml:space="preserve"> </w:t>
            </w:r>
          </w:p>
          <w:p w14:paraId="67972AD2" w14:textId="77777777" w:rsidR="001455EB" w:rsidRPr="00046603" w:rsidRDefault="001455EB" w:rsidP="001455EB">
            <w:pPr>
              <w:keepNext/>
              <w:keepLines/>
              <w:autoSpaceDE w:val="0"/>
              <w:autoSpaceDN w:val="0"/>
              <w:adjustRightInd w:val="0"/>
              <w:rPr>
                <w:sz w:val="24"/>
                <w:szCs w:val="24"/>
              </w:rPr>
            </w:pPr>
            <w:r w:rsidRPr="00046603">
              <w:rPr>
                <w:sz w:val="24"/>
                <w:szCs w:val="24"/>
              </w:rPr>
              <w:t>Bureau of Consumer Services</w:t>
            </w:r>
          </w:p>
          <w:p w14:paraId="369B4B24" w14:textId="77777777" w:rsidR="001455EB" w:rsidRPr="00F7629C" w:rsidRDefault="001455EB" w:rsidP="001455EB"/>
        </w:tc>
      </w:tr>
      <w:tr w:rsidR="00FF650C" w:rsidRPr="00E712F9" w14:paraId="56F61B1B" w14:textId="77777777" w:rsidTr="004B1A03">
        <w:trPr>
          <w:cantSplit/>
        </w:trPr>
        <w:tc>
          <w:tcPr>
            <w:tcW w:w="6889" w:type="dxa"/>
            <w:vAlign w:val="center"/>
          </w:tcPr>
          <w:p w14:paraId="1DBF5B2C" w14:textId="77777777" w:rsidR="00FF650C" w:rsidRPr="00E712F9" w:rsidRDefault="00FF650C">
            <w:pPr>
              <w:rPr>
                <w:b/>
                <w:sz w:val="24"/>
                <w:szCs w:val="24"/>
                <w:lang w:val="fr-FR"/>
              </w:rPr>
            </w:pPr>
            <w:r w:rsidRPr="00E712F9">
              <w:rPr>
                <w:b/>
                <w:sz w:val="24"/>
                <w:szCs w:val="24"/>
                <w:lang w:val="fr-FR"/>
              </w:rPr>
              <w:t xml:space="preserve">Service Surveillance </w:t>
            </w:r>
            <w:proofErr w:type="spellStart"/>
            <w:r w:rsidRPr="00E712F9">
              <w:rPr>
                <w:b/>
                <w:sz w:val="24"/>
                <w:szCs w:val="24"/>
                <w:lang w:val="fr-FR"/>
              </w:rPr>
              <w:t>Level</w:t>
            </w:r>
            <w:proofErr w:type="spellEnd"/>
            <w:r w:rsidRPr="00E712F9">
              <w:rPr>
                <w:b/>
                <w:sz w:val="24"/>
                <w:szCs w:val="24"/>
                <w:lang w:val="fr-FR"/>
              </w:rPr>
              <w:t xml:space="preserve"> Report (52 Pa. Code </w:t>
            </w:r>
            <w:r>
              <w:rPr>
                <w:b/>
                <w:sz w:val="24"/>
                <w:szCs w:val="24"/>
                <w:lang w:val="fr-FR"/>
              </w:rPr>
              <w:t xml:space="preserve">§§ </w:t>
            </w:r>
            <w:r w:rsidRPr="00E712F9">
              <w:rPr>
                <w:b/>
                <w:sz w:val="24"/>
                <w:szCs w:val="24"/>
                <w:lang w:val="fr-FR"/>
              </w:rPr>
              <w:t>63.51</w:t>
            </w:r>
            <w:r>
              <w:rPr>
                <w:b/>
                <w:sz w:val="24"/>
                <w:szCs w:val="24"/>
                <w:lang w:val="fr-FR"/>
              </w:rPr>
              <w:t xml:space="preserve"> </w:t>
            </w:r>
            <w:r w:rsidRPr="00E712F9">
              <w:rPr>
                <w:b/>
                <w:sz w:val="24"/>
                <w:szCs w:val="24"/>
                <w:lang w:val="fr-FR"/>
              </w:rPr>
              <w:t>-</w:t>
            </w:r>
            <w:r>
              <w:rPr>
                <w:b/>
                <w:sz w:val="24"/>
                <w:szCs w:val="24"/>
                <w:lang w:val="fr-FR"/>
              </w:rPr>
              <w:t xml:space="preserve"> </w:t>
            </w:r>
            <w:r w:rsidRPr="00E712F9">
              <w:rPr>
                <w:b/>
                <w:sz w:val="24"/>
                <w:szCs w:val="24"/>
                <w:lang w:val="fr-FR"/>
              </w:rPr>
              <w:t>63.65)</w:t>
            </w:r>
          </w:p>
          <w:p w14:paraId="51196027" w14:textId="77777777" w:rsidR="00FF650C" w:rsidRPr="00E712F9" w:rsidRDefault="00FF650C">
            <w:pPr>
              <w:rPr>
                <w:b/>
                <w:sz w:val="24"/>
                <w:szCs w:val="24"/>
                <w:lang w:val="fr-FR"/>
              </w:rPr>
            </w:pPr>
          </w:p>
          <w:p w14:paraId="558AA8B6" w14:textId="77777777" w:rsidR="00FF650C" w:rsidRPr="00E712F9" w:rsidRDefault="00FF650C">
            <w:pPr>
              <w:rPr>
                <w:sz w:val="24"/>
                <w:szCs w:val="24"/>
                <w:lang w:val="fr-FR"/>
              </w:rPr>
            </w:pPr>
            <w:r w:rsidRPr="00E712F9">
              <w:rPr>
                <w:b/>
                <w:sz w:val="24"/>
                <w:szCs w:val="24"/>
                <w:lang w:val="fr-FR"/>
              </w:rPr>
              <w:t xml:space="preserve">Carrier </w:t>
            </w:r>
            <w:proofErr w:type="gramStart"/>
            <w:r w:rsidRPr="00E712F9">
              <w:rPr>
                <w:b/>
                <w:sz w:val="24"/>
                <w:szCs w:val="24"/>
                <w:lang w:val="fr-FR"/>
              </w:rPr>
              <w:t>Types:</w:t>
            </w:r>
            <w:proofErr w:type="gramEnd"/>
            <w:r w:rsidR="0007174E">
              <w:rPr>
                <w:b/>
                <w:sz w:val="24"/>
                <w:szCs w:val="24"/>
                <w:lang w:val="fr-FR"/>
              </w:rPr>
              <w:t xml:space="preserve"> </w:t>
            </w:r>
            <w:r w:rsidRPr="00E712F9">
              <w:rPr>
                <w:sz w:val="24"/>
                <w:szCs w:val="24"/>
                <w:lang w:val="fr-FR"/>
              </w:rPr>
              <w:t xml:space="preserve"> ILEC, CLEC, CAP</w:t>
            </w:r>
          </w:p>
          <w:p w14:paraId="43772136" w14:textId="77777777" w:rsidR="00FF650C" w:rsidRPr="00E712F9" w:rsidRDefault="00FF650C">
            <w:pPr>
              <w:rPr>
                <w:sz w:val="24"/>
                <w:szCs w:val="24"/>
                <w:lang w:val="fr-FR"/>
              </w:rPr>
            </w:pPr>
          </w:p>
          <w:p w14:paraId="4C41FF51" w14:textId="77777777" w:rsidR="00FF650C" w:rsidRPr="00E712F9" w:rsidRDefault="00FF650C">
            <w:pPr>
              <w:pStyle w:val="BodyTextIndent3"/>
              <w:ind w:left="0"/>
              <w:rPr>
                <w:sz w:val="24"/>
                <w:szCs w:val="24"/>
              </w:rPr>
            </w:pPr>
            <w:r w:rsidRPr="00E712F9">
              <w:rPr>
                <w:sz w:val="24"/>
                <w:szCs w:val="24"/>
              </w:rPr>
              <w:t xml:space="preserve">A public utility providing “simple residential or business voice grade services” that fails to meet a stated average level of operation required by 52 Pa. Code </w:t>
            </w:r>
            <w:r>
              <w:rPr>
                <w:sz w:val="24"/>
                <w:szCs w:val="24"/>
                <w:lang w:val="fr-FR"/>
              </w:rPr>
              <w:t xml:space="preserve">§ </w:t>
            </w:r>
            <w:r w:rsidRPr="00E712F9">
              <w:rPr>
                <w:sz w:val="24"/>
                <w:szCs w:val="24"/>
              </w:rPr>
              <w:t>63, Subchapter E (Telephone Quality Service Stan</w:t>
            </w:r>
            <w:r>
              <w:rPr>
                <w:sz w:val="24"/>
                <w:szCs w:val="24"/>
              </w:rPr>
              <w:t>dards) for a period of three (3</w:t>
            </w:r>
            <w:r w:rsidRPr="00E712F9">
              <w:rPr>
                <w:sz w:val="24"/>
                <w:szCs w:val="24"/>
              </w:rPr>
              <w:t xml:space="preserve">) consecutive months must take immediate steps as outlined at 52 Pa. Code </w:t>
            </w:r>
            <w:r>
              <w:rPr>
                <w:sz w:val="24"/>
                <w:szCs w:val="24"/>
              </w:rPr>
              <w:t xml:space="preserve">§ </w:t>
            </w:r>
            <w:r w:rsidRPr="00E712F9">
              <w:rPr>
                <w:sz w:val="24"/>
                <w:szCs w:val="24"/>
              </w:rPr>
              <w:t>63.55.  Corrective actions include an investigation into the substandard performance and notice to the Commission followed by a written report within 5 working days and a status report at the end of one (1) month.</w:t>
            </w:r>
          </w:p>
          <w:p w14:paraId="1AEC9314" w14:textId="77777777" w:rsidR="00FF650C" w:rsidRPr="00E712F9" w:rsidRDefault="00FF650C">
            <w:pPr>
              <w:rPr>
                <w:sz w:val="24"/>
                <w:szCs w:val="24"/>
                <w:lang w:val="fr-FR"/>
              </w:rPr>
            </w:pPr>
          </w:p>
          <w:p w14:paraId="00D33924" w14:textId="77777777" w:rsidR="00FF650C" w:rsidRPr="00E712F9" w:rsidRDefault="00FF650C">
            <w:pPr>
              <w:rPr>
                <w:sz w:val="24"/>
                <w:szCs w:val="24"/>
                <w:lang w:val="fr-FR"/>
              </w:rPr>
            </w:pPr>
            <w:r w:rsidRPr="00E712F9">
              <w:rPr>
                <w:b/>
                <w:sz w:val="24"/>
                <w:szCs w:val="24"/>
              </w:rPr>
              <w:t>Due Date</w:t>
            </w:r>
            <w:r w:rsidRPr="00E712F9">
              <w:rPr>
                <w:sz w:val="24"/>
                <w:szCs w:val="24"/>
              </w:rPr>
              <w:t xml:space="preserve">: </w:t>
            </w:r>
            <w:r w:rsidR="0007174E">
              <w:rPr>
                <w:sz w:val="24"/>
                <w:szCs w:val="24"/>
              </w:rPr>
              <w:t xml:space="preserve"> </w:t>
            </w:r>
            <w:r w:rsidRPr="00E712F9">
              <w:rPr>
                <w:sz w:val="24"/>
                <w:szCs w:val="24"/>
              </w:rPr>
              <w:t>As noted above.</w:t>
            </w:r>
          </w:p>
          <w:p w14:paraId="4243C982" w14:textId="77777777" w:rsidR="00FF650C" w:rsidRPr="00E712F9" w:rsidRDefault="00FF650C">
            <w:pPr>
              <w:rPr>
                <w:b/>
                <w:sz w:val="24"/>
                <w:szCs w:val="24"/>
              </w:rPr>
            </w:pPr>
          </w:p>
        </w:tc>
        <w:tc>
          <w:tcPr>
            <w:tcW w:w="2520" w:type="dxa"/>
          </w:tcPr>
          <w:p w14:paraId="3C3D694D" w14:textId="77777777" w:rsidR="006C65C1" w:rsidRDefault="006C65C1" w:rsidP="006C65C1">
            <w:pPr>
              <w:rPr>
                <w:sz w:val="24"/>
                <w:szCs w:val="24"/>
              </w:rPr>
            </w:pPr>
            <w:r>
              <w:rPr>
                <w:sz w:val="24"/>
                <w:szCs w:val="24"/>
              </w:rPr>
              <w:t>Bobbi Anderson</w:t>
            </w:r>
          </w:p>
          <w:p w14:paraId="1AFD78C8" w14:textId="77777777" w:rsidR="006C65C1" w:rsidRDefault="00286B01" w:rsidP="006C65C1">
            <w:pPr>
              <w:rPr>
                <w:sz w:val="24"/>
                <w:szCs w:val="24"/>
              </w:rPr>
            </w:pPr>
            <w:hyperlink r:id="rId16" w:history="1">
              <w:r w:rsidR="006C65C1" w:rsidRPr="0002217F">
                <w:rPr>
                  <w:rStyle w:val="Hyperlink"/>
                  <w:sz w:val="24"/>
                  <w:szCs w:val="24"/>
                </w:rPr>
                <w:t>robertaand@pa.gov</w:t>
              </w:r>
            </w:hyperlink>
          </w:p>
          <w:p w14:paraId="090F40EA" w14:textId="77777777" w:rsidR="006C65C1" w:rsidRDefault="006C65C1" w:rsidP="006C65C1">
            <w:pPr>
              <w:rPr>
                <w:sz w:val="24"/>
                <w:szCs w:val="24"/>
              </w:rPr>
            </w:pPr>
            <w:r>
              <w:rPr>
                <w:sz w:val="24"/>
                <w:szCs w:val="24"/>
              </w:rPr>
              <w:t>(717) 783-5238</w:t>
            </w:r>
          </w:p>
          <w:p w14:paraId="78A35BB0" w14:textId="22E8A78C" w:rsidR="00FF650C" w:rsidRDefault="006C65C1" w:rsidP="006C65C1">
            <w:pPr>
              <w:rPr>
                <w:sz w:val="24"/>
                <w:szCs w:val="24"/>
              </w:rPr>
            </w:pPr>
            <w:r w:rsidRPr="00844B38">
              <w:rPr>
                <w:sz w:val="24"/>
                <w:szCs w:val="24"/>
              </w:rPr>
              <w:t>Bureau of Consumer Services</w:t>
            </w:r>
            <w:r w:rsidRPr="00E712F9">
              <w:rPr>
                <w:sz w:val="24"/>
                <w:szCs w:val="24"/>
              </w:rPr>
              <w:t xml:space="preserve"> </w:t>
            </w:r>
          </w:p>
          <w:p w14:paraId="52706F97" w14:textId="77777777" w:rsidR="006C65C1" w:rsidRPr="00E712F9" w:rsidRDefault="006C65C1" w:rsidP="006C65C1">
            <w:pPr>
              <w:rPr>
                <w:sz w:val="24"/>
                <w:szCs w:val="24"/>
              </w:rPr>
            </w:pPr>
          </w:p>
          <w:p w14:paraId="2E0169F9" w14:textId="77777777" w:rsidR="00FF650C" w:rsidRPr="00E712F9" w:rsidRDefault="00FF650C" w:rsidP="001F081A">
            <w:pPr>
              <w:rPr>
                <w:sz w:val="24"/>
                <w:szCs w:val="24"/>
              </w:rPr>
            </w:pPr>
            <w:r>
              <w:rPr>
                <w:sz w:val="24"/>
                <w:szCs w:val="24"/>
              </w:rPr>
              <w:t>Bryan Mahla</w:t>
            </w:r>
          </w:p>
          <w:p w14:paraId="074B32D4" w14:textId="77777777" w:rsidR="00FF650C" w:rsidRDefault="00FF650C" w:rsidP="001F081A">
            <w:pPr>
              <w:rPr>
                <w:sz w:val="24"/>
                <w:szCs w:val="24"/>
              </w:rPr>
            </w:pPr>
            <w:r w:rsidRPr="00E712F9">
              <w:rPr>
                <w:sz w:val="24"/>
                <w:szCs w:val="24"/>
              </w:rPr>
              <w:t>(717) 787-</w:t>
            </w:r>
            <w:r>
              <w:rPr>
                <w:sz w:val="24"/>
                <w:szCs w:val="24"/>
              </w:rPr>
              <w:t>6381</w:t>
            </w:r>
          </w:p>
          <w:p w14:paraId="6AE9996C" w14:textId="0BD199F5" w:rsidR="00FF650C" w:rsidRPr="00E712F9" w:rsidRDefault="00286B01" w:rsidP="001F081A">
            <w:pPr>
              <w:rPr>
                <w:sz w:val="24"/>
                <w:szCs w:val="24"/>
              </w:rPr>
            </w:pPr>
            <w:hyperlink r:id="rId17" w:history="1">
              <w:r w:rsidR="00BD61BD" w:rsidRPr="00F93785">
                <w:rPr>
                  <w:rStyle w:val="Hyperlink"/>
                  <w:sz w:val="24"/>
                  <w:szCs w:val="24"/>
                </w:rPr>
                <w:t>bmahla@pa.gov</w:t>
              </w:r>
            </w:hyperlink>
            <w:r w:rsidR="00FF650C">
              <w:rPr>
                <w:sz w:val="24"/>
                <w:szCs w:val="24"/>
              </w:rPr>
              <w:t xml:space="preserve"> </w:t>
            </w:r>
          </w:p>
          <w:p w14:paraId="1EAFBD19" w14:textId="77777777" w:rsidR="00FF650C" w:rsidRPr="00E712F9" w:rsidRDefault="00FF650C" w:rsidP="001F081A">
            <w:pPr>
              <w:rPr>
                <w:sz w:val="24"/>
                <w:szCs w:val="24"/>
              </w:rPr>
            </w:pPr>
            <w:r w:rsidRPr="00E712F9">
              <w:rPr>
                <w:sz w:val="24"/>
                <w:szCs w:val="24"/>
              </w:rPr>
              <w:t xml:space="preserve">Bureau of </w:t>
            </w:r>
            <w:r>
              <w:rPr>
                <w:sz w:val="24"/>
                <w:szCs w:val="24"/>
              </w:rPr>
              <w:t>Technical</w:t>
            </w:r>
            <w:r w:rsidRPr="00E712F9">
              <w:rPr>
                <w:sz w:val="24"/>
                <w:szCs w:val="24"/>
              </w:rPr>
              <w:t xml:space="preserve"> Utility Service</w:t>
            </w:r>
            <w:r>
              <w:rPr>
                <w:sz w:val="24"/>
                <w:szCs w:val="24"/>
              </w:rPr>
              <w:t>s</w:t>
            </w:r>
            <w:r w:rsidRPr="00E712F9">
              <w:rPr>
                <w:sz w:val="24"/>
                <w:szCs w:val="24"/>
              </w:rPr>
              <w:t xml:space="preserve"> </w:t>
            </w:r>
          </w:p>
        </w:tc>
      </w:tr>
      <w:tr w:rsidR="006F4018" w:rsidRPr="00E712F9" w14:paraId="00A23B3E" w14:textId="77777777" w:rsidTr="00E712F9">
        <w:trPr>
          <w:cantSplit/>
        </w:trPr>
        <w:tc>
          <w:tcPr>
            <w:tcW w:w="6889" w:type="dxa"/>
          </w:tcPr>
          <w:p w14:paraId="3A7ACF66" w14:textId="77777777" w:rsidR="006F4018" w:rsidRPr="00E712F9" w:rsidRDefault="006F4018" w:rsidP="00441DEE">
            <w:pPr>
              <w:rPr>
                <w:b/>
                <w:sz w:val="24"/>
                <w:szCs w:val="24"/>
              </w:rPr>
            </w:pPr>
            <w:r w:rsidRPr="00E712F9">
              <w:rPr>
                <w:b/>
                <w:sz w:val="24"/>
                <w:szCs w:val="24"/>
              </w:rPr>
              <w:t xml:space="preserve">State Tax Adjustment Surcharge (52 </w:t>
            </w:r>
            <w:smartTag w:uri="urn:schemas-microsoft-com:office:smarttags" w:element="place">
              <w:smartTag w:uri="urn:schemas-microsoft-com:office:smarttags" w:element="State">
                <w:r w:rsidRPr="00E712F9">
                  <w:rPr>
                    <w:b/>
                    <w:sz w:val="24"/>
                    <w:szCs w:val="24"/>
                  </w:rPr>
                  <w:t>Pa.</w:t>
                </w:r>
              </w:smartTag>
            </w:smartTag>
            <w:r w:rsidRPr="00E712F9">
              <w:rPr>
                <w:b/>
                <w:sz w:val="24"/>
                <w:szCs w:val="24"/>
              </w:rPr>
              <w:t xml:space="preserve"> Code </w:t>
            </w:r>
            <w:r>
              <w:rPr>
                <w:b/>
                <w:sz w:val="24"/>
                <w:szCs w:val="24"/>
              </w:rPr>
              <w:t xml:space="preserve">§§ </w:t>
            </w:r>
            <w:r w:rsidRPr="00E712F9">
              <w:rPr>
                <w:b/>
                <w:sz w:val="24"/>
                <w:szCs w:val="24"/>
              </w:rPr>
              <w:t>69.51</w:t>
            </w:r>
            <w:r>
              <w:rPr>
                <w:b/>
                <w:sz w:val="24"/>
                <w:szCs w:val="24"/>
              </w:rPr>
              <w:t xml:space="preserve"> </w:t>
            </w:r>
            <w:r w:rsidRPr="00E712F9">
              <w:rPr>
                <w:b/>
                <w:sz w:val="24"/>
                <w:szCs w:val="24"/>
              </w:rPr>
              <w:t>-</w:t>
            </w:r>
            <w:r>
              <w:rPr>
                <w:b/>
                <w:sz w:val="24"/>
                <w:szCs w:val="24"/>
              </w:rPr>
              <w:t xml:space="preserve"> </w:t>
            </w:r>
            <w:r w:rsidRPr="00E712F9">
              <w:rPr>
                <w:b/>
                <w:sz w:val="24"/>
                <w:szCs w:val="24"/>
              </w:rPr>
              <w:t>69.56)</w:t>
            </w:r>
          </w:p>
          <w:p w14:paraId="147347CF" w14:textId="77777777" w:rsidR="006F4018" w:rsidRPr="00E712F9" w:rsidRDefault="006F4018" w:rsidP="00441DEE">
            <w:pPr>
              <w:rPr>
                <w:b/>
                <w:sz w:val="24"/>
                <w:szCs w:val="24"/>
              </w:rPr>
            </w:pPr>
          </w:p>
          <w:p w14:paraId="25969C2E" w14:textId="77777777" w:rsidR="006F4018" w:rsidRPr="00E712F9" w:rsidRDefault="006F4018" w:rsidP="00E712F9">
            <w:pPr>
              <w:keepNext/>
              <w:keepLines/>
              <w:rPr>
                <w:sz w:val="24"/>
                <w:szCs w:val="24"/>
              </w:rPr>
            </w:pPr>
            <w:r w:rsidRPr="00E712F9">
              <w:rPr>
                <w:b/>
                <w:sz w:val="24"/>
                <w:szCs w:val="24"/>
              </w:rPr>
              <w:t>Carrier Type</w:t>
            </w:r>
            <w:r w:rsidR="0007174E">
              <w:rPr>
                <w:b/>
                <w:sz w:val="24"/>
                <w:szCs w:val="24"/>
              </w:rPr>
              <w:t>s</w:t>
            </w:r>
            <w:r w:rsidRPr="00E712F9">
              <w:rPr>
                <w:b/>
                <w:sz w:val="24"/>
                <w:szCs w:val="24"/>
              </w:rPr>
              <w:t xml:space="preserve">: </w:t>
            </w:r>
            <w:r w:rsidR="0007174E">
              <w:rPr>
                <w:b/>
                <w:sz w:val="24"/>
                <w:szCs w:val="24"/>
              </w:rPr>
              <w:t xml:space="preserve"> </w:t>
            </w:r>
            <w:r w:rsidRPr="00E712F9">
              <w:rPr>
                <w:sz w:val="24"/>
                <w:szCs w:val="24"/>
              </w:rPr>
              <w:t>ILEC, CLEC</w:t>
            </w:r>
          </w:p>
          <w:p w14:paraId="1DF24B3B" w14:textId="77777777" w:rsidR="006F4018" w:rsidRPr="00E712F9" w:rsidRDefault="006F4018" w:rsidP="00441DEE">
            <w:pPr>
              <w:rPr>
                <w:b/>
                <w:sz w:val="24"/>
                <w:szCs w:val="24"/>
              </w:rPr>
            </w:pPr>
          </w:p>
          <w:p w14:paraId="733CEAF3" w14:textId="77777777" w:rsidR="006F4018" w:rsidRPr="00E712F9" w:rsidRDefault="006F4018" w:rsidP="00441DEE">
            <w:pPr>
              <w:rPr>
                <w:sz w:val="24"/>
                <w:szCs w:val="24"/>
              </w:rPr>
            </w:pPr>
            <w:r w:rsidRPr="00E712F9">
              <w:rPr>
                <w:sz w:val="24"/>
                <w:szCs w:val="24"/>
              </w:rPr>
              <w:t xml:space="preserve">The STAS (State Tax Adjustment Surcharge) was implemented under the State Tax Procedure Order of the Commission dated March 10, 1970, as amended, which permits jurisdictional utilities to recover portions of the Capital Stock Tax, corporate Net Income Tax and Gross Receipts Tax and Public Realty Tax through a surcharge on rates charges to customers.  </w:t>
            </w:r>
            <w:r w:rsidR="00FD0EE2" w:rsidRPr="00FD0EE2">
              <w:rPr>
                <w:sz w:val="24"/>
                <w:szCs w:val="24"/>
              </w:rPr>
              <w:t>STAS is to be rolled into base rates or otherwise reduced to zero after 24 months.</w:t>
            </w:r>
          </w:p>
          <w:p w14:paraId="030E684A" w14:textId="77777777" w:rsidR="006F4018" w:rsidRPr="00E712F9" w:rsidRDefault="006F4018" w:rsidP="00441DEE">
            <w:pPr>
              <w:rPr>
                <w:sz w:val="24"/>
                <w:szCs w:val="24"/>
              </w:rPr>
            </w:pPr>
          </w:p>
          <w:p w14:paraId="5AC383AC" w14:textId="77777777" w:rsidR="006F4018" w:rsidRPr="00E712F9" w:rsidRDefault="006F4018" w:rsidP="00441DEE">
            <w:pPr>
              <w:rPr>
                <w:sz w:val="24"/>
                <w:szCs w:val="24"/>
              </w:rPr>
            </w:pPr>
            <w:r w:rsidRPr="00E712F9">
              <w:rPr>
                <w:b/>
                <w:sz w:val="24"/>
                <w:szCs w:val="24"/>
              </w:rPr>
              <w:t xml:space="preserve">Due Date: </w:t>
            </w:r>
            <w:r w:rsidRPr="00E712F9">
              <w:rPr>
                <w:sz w:val="24"/>
                <w:szCs w:val="24"/>
              </w:rPr>
              <w:t xml:space="preserve"> For those LECs utilizing a STAS, filings are due March 31 of each year or within ten (10) days after an event requiring recomputation.  </w:t>
            </w:r>
          </w:p>
          <w:p w14:paraId="199F3E72" w14:textId="77777777" w:rsidR="006F4018" w:rsidRPr="00E712F9" w:rsidRDefault="006F4018" w:rsidP="00441DEE">
            <w:pPr>
              <w:rPr>
                <w:sz w:val="24"/>
                <w:szCs w:val="24"/>
              </w:rPr>
            </w:pPr>
          </w:p>
        </w:tc>
        <w:tc>
          <w:tcPr>
            <w:tcW w:w="2520" w:type="dxa"/>
          </w:tcPr>
          <w:p w14:paraId="0D2B678B" w14:textId="77777777" w:rsidR="006F4018" w:rsidRDefault="006F4018" w:rsidP="00C24D84">
            <w:pPr>
              <w:rPr>
                <w:sz w:val="24"/>
                <w:szCs w:val="24"/>
              </w:rPr>
            </w:pPr>
            <w:r w:rsidRPr="00E712F9">
              <w:rPr>
                <w:sz w:val="24"/>
                <w:szCs w:val="24"/>
              </w:rPr>
              <w:t>Derek Vogelsong</w:t>
            </w:r>
          </w:p>
          <w:p w14:paraId="553007F3" w14:textId="77777777" w:rsidR="006F4018" w:rsidRDefault="00286B01" w:rsidP="00C24D84">
            <w:pPr>
              <w:rPr>
                <w:sz w:val="24"/>
                <w:szCs w:val="24"/>
              </w:rPr>
            </w:pPr>
            <w:hyperlink r:id="rId18" w:history="1">
              <w:r w:rsidR="006F4018" w:rsidRPr="00C44E5D">
                <w:rPr>
                  <w:rStyle w:val="Hyperlink"/>
                  <w:sz w:val="24"/>
                  <w:szCs w:val="24"/>
                </w:rPr>
                <w:t>devogelson@pa.gov</w:t>
              </w:r>
            </w:hyperlink>
          </w:p>
          <w:p w14:paraId="2EADE7EB" w14:textId="77777777" w:rsidR="006F4018" w:rsidRPr="00E712F9" w:rsidRDefault="006F4018" w:rsidP="00C24D84">
            <w:pPr>
              <w:rPr>
                <w:sz w:val="24"/>
                <w:szCs w:val="24"/>
              </w:rPr>
            </w:pPr>
            <w:r w:rsidRPr="00E712F9">
              <w:rPr>
                <w:sz w:val="24"/>
                <w:szCs w:val="24"/>
              </w:rPr>
              <w:t>(717) 787-3861</w:t>
            </w:r>
          </w:p>
          <w:p w14:paraId="60A6F8C3" w14:textId="77777777" w:rsidR="006F4018" w:rsidRPr="00E712F9" w:rsidRDefault="006F4018" w:rsidP="00C24D84">
            <w:pPr>
              <w:rPr>
                <w:sz w:val="24"/>
                <w:szCs w:val="24"/>
              </w:rPr>
            </w:pPr>
            <w:r w:rsidRPr="00E712F9">
              <w:rPr>
                <w:sz w:val="24"/>
                <w:szCs w:val="24"/>
              </w:rPr>
              <w:t xml:space="preserve">Bureau of </w:t>
            </w:r>
            <w:r>
              <w:rPr>
                <w:sz w:val="24"/>
                <w:szCs w:val="24"/>
              </w:rPr>
              <w:t>Technical</w:t>
            </w:r>
            <w:r w:rsidRPr="00E712F9">
              <w:rPr>
                <w:sz w:val="24"/>
                <w:szCs w:val="24"/>
              </w:rPr>
              <w:t xml:space="preserve"> Utility Service</w:t>
            </w:r>
            <w:r>
              <w:rPr>
                <w:sz w:val="24"/>
                <w:szCs w:val="24"/>
              </w:rPr>
              <w:t>s</w:t>
            </w:r>
          </w:p>
        </w:tc>
      </w:tr>
      <w:tr w:rsidR="00E21BA8" w:rsidRPr="00E712F9" w14:paraId="2D4E5C25" w14:textId="77777777" w:rsidTr="00E712F9">
        <w:trPr>
          <w:cantSplit/>
        </w:trPr>
        <w:tc>
          <w:tcPr>
            <w:tcW w:w="6889" w:type="dxa"/>
          </w:tcPr>
          <w:p w14:paraId="6AC76A4D" w14:textId="77777777" w:rsidR="00E21BA8" w:rsidRPr="00E712F9" w:rsidRDefault="00E21BA8" w:rsidP="00441DEE">
            <w:pPr>
              <w:rPr>
                <w:b/>
                <w:sz w:val="24"/>
                <w:szCs w:val="24"/>
              </w:rPr>
            </w:pPr>
            <w:r w:rsidRPr="00E712F9">
              <w:rPr>
                <w:b/>
                <w:sz w:val="24"/>
                <w:szCs w:val="24"/>
              </w:rPr>
              <w:lastRenderedPageBreak/>
              <w:t>Universa</w:t>
            </w:r>
            <w:r w:rsidR="0007174E">
              <w:rPr>
                <w:b/>
                <w:sz w:val="24"/>
                <w:szCs w:val="24"/>
              </w:rPr>
              <w:t>l Service Fund Contribution (52</w:t>
            </w:r>
            <w:r w:rsidRPr="00E712F9">
              <w:rPr>
                <w:b/>
                <w:sz w:val="24"/>
                <w:szCs w:val="24"/>
              </w:rPr>
              <w:t xml:space="preserve"> Pa. Code </w:t>
            </w:r>
            <w:r>
              <w:rPr>
                <w:b/>
                <w:sz w:val="24"/>
                <w:szCs w:val="24"/>
              </w:rPr>
              <w:t xml:space="preserve">§ </w:t>
            </w:r>
            <w:r w:rsidRPr="00E712F9">
              <w:rPr>
                <w:b/>
                <w:sz w:val="24"/>
                <w:szCs w:val="24"/>
              </w:rPr>
              <w:t>63.165)</w:t>
            </w:r>
          </w:p>
          <w:p w14:paraId="7F45EF53" w14:textId="77777777" w:rsidR="00E21BA8" w:rsidRPr="00E712F9" w:rsidRDefault="00E21BA8" w:rsidP="00441DEE">
            <w:pPr>
              <w:rPr>
                <w:b/>
                <w:sz w:val="24"/>
                <w:szCs w:val="24"/>
              </w:rPr>
            </w:pPr>
          </w:p>
          <w:p w14:paraId="38FB495A" w14:textId="77777777" w:rsidR="00E21BA8" w:rsidRPr="00E712F9" w:rsidRDefault="00E21BA8" w:rsidP="00441DEE">
            <w:pPr>
              <w:rPr>
                <w:sz w:val="24"/>
                <w:szCs w:val="24"/>
              </w:rPr>
            </w:pPr>
            <w:r w:rsidRPr="00E712F9">
              <w:rPr>
                <w:b/>
                <w:sz w:val="24"/>
                <w:szCs w:val="24"/>
              </w:rPr>
              <w:t>Carrier Type</w:t>
            </w:r>
            <w:r w:rsidR="0007174E">
              <w:rPr>
                <w:b/>
                <w:sz w:val="24"/>
                <w:szCs w:val="24"/>
              </w:rPr>
              <w:t>s</w:t>
            </w:r>
            <w:r w:rsidRPr="00E712F9">
              <w:rPr>
                <w:b/>
                <w:sz w:val="24"/>
                <w:szCs w:val="24"/>
              </w:rPr>
              <w:t>:</w:t>
            </w:r>
            <w:r w:rsidRPr="00E712F9">
              <w:rPr>
                <w:sz w:val="24"/>
                <w:szCs w:val="24"/>
              </w:rPr>
              <w:t xml:space="preserve">  All</w:t>
            </w:r>
          </w:p>
          <w:p w14:paraId="1B39C176" w14:textId="77777777" w:rsidR="00E21BA8" w:rsidRPr="00E712F9" w:rsidRDefault="00E21BA8" w:rsidP="00441DEE">
            <w:pPr>
              <w:rPr>
                <w:sz w:val="24"/>
                <w:szCs w:val="24"/>
              </w:rPr>
            </w:pPr>
          </w:p>
          <w:p w14:paraId="11BF9573" w14:textId="77777777" w:rsidR="00E21BA8" w:rsidRPr="00E712F9" w:rsidRDefault="00E21BA8" w:rsidP="00382349">
            <w:pPr>
              <w:pStyle w:val="BodyText"/>
              <w:rPr>
                <w:sz w:val="24"/>
                <w:szCs w:val="24"/>
              </w:rPr>
            </w:pPr>
            <w:r w:rsidRPr="00E712F9">
              <w:rPr>
                <w:sz w:val="24"/>
                <w:szCs w:val="24"/>
              </w:rPr>
              <w:t xml:space="preserve">All jurisdictional carriers providing intrastate telecommunications services are required to report total intrastate end-user telecommunications retail revenue for the previous calendar year.  Each carrier’s contribution is then calculated by a third party administrator to the Commission.  </w:t>
            </w:r>
          </w:p>
          <w:p w14:paraId="7DD51E7C" w14:textId="77777777" w:rsidR="00E21BA8" w:rsidRPr="00E712F9" w:rsidRDefault="00E21BA8" w:rsidP="00382349">
            <w:pPr>
              <w:pStyle w:val="BodyText"/>
              <w:rPr>
                <w:sz w:val="24"/>
                <w:szCs w:val="24"/>
              </w:rPr>
            </w:pPr>
          </w:p>
          <w:p w14:paraId="73FF86B6" w14:textId="06313C4B" w:rsidR="00E21BA8" w:rsidRPr="00E712F9" w:rsidRDefault="00E21BA8" w:rsidP="00382349">
            <w:pPr>
              <w:rPr>
                <w:sz w:val="24"/>
                <w:szCs w:val="24"/>
              </w:rPr>
            </w:pPr>
            <w:r w:rsidRPr="00E712F9">
              <w:rPr>
                <w:b/>
                <w:sz w:val="24"/>
                <w:szCs w:val="24"/>
              </w:rPr>
              <w:t xml:space="preserve">Due Date: </w:t>
            </w:r>
            <w:r w:rsidR="0007174E">
              <w:rPr>
                <w:sz w:val="24"/>
                <w:szCs w:val="24"/>
              </w:rPr>
              <w:t xml:space="preserve"> </w:t>
            </w:r>
            <w:r w:rsidR="004A6407">
              <w:rPr>
                <w:sz w:val="24"/>
                <w:szCs w:val="24"/>
              </w:rPr>
              <w:t>March 31</w:t>
            </w:r>
            <w:r w:rsidR="0007174E">
              <w:rPr>
                <w:sz w:val="24"/>
                <w:szCs w:val="24"/>
              </w:rPr>
              <w:t xml:space="preserve"> (File with </w:t>
            </w:r>
            <w:r w:rsidR="001455EB">
              <w:rPr>
                <w:sz w:val="24"/>
                <w:szCs w:val="24"/>
              </w:rPr>
              <w:t>GVNW</w:t>
            </w:r>
            <w:r w:rsidR="0007174E">
              <w:rPr>
                <w:sz w:val="24"/>
                <w:szCs w:val="24"/>
              </w:rPr>
              <w:t>)</w:t>
            </w:r>
          </w:p>
          <w:p w14:paraId="2CDFE423" w14:textId="77777777" w:rsidR="00E21BA8" w:rsidRPr="00E712F9" w:rsidRDefault="00E21BA8" w:rsidP="00441DEE">
            <w:pPr>
              <w:rPr>
                <w:b/>
                <w:sz w:val="24"/>
                <w:szCs w:val="24"/>
              </w:rPr>
            </w:pPr>
          </w:p>
        </w:tc>
        <w:tc>
          <w:tcPr>
            <w:tcW w:w="2520" w:type="dxa"/>
          </w:tcPr>
          <w:p w14:paraId="243FDB79" w14:textId="77777777" w:rsidR="00E21BA8" w:rsidRDefault="00E21BA8" w:rsidP="00465175">
            <w:pPr>
              <w:rPr>
                <w:sz w:val="24"/>
                <w:szCs w:val="24"/>
              </w:rPr>
            </w:pPr>
            <w:r>
              <w:rPr>
                <w:sz w:val="24"/>
                <w:szCs w:val="24"/>
              </w:rPr>
              <w:t>Spencer Nahf</w:t>
            </w:r>
          </w:p>
          <w:p w14:paraId="40D372BF" w14:textId="77777777" w:rsidR="00E21BA8" w:rsidRDefault="00286B01" w:rsidP="00465175">
            <w:pPr>
              <w:rPr>
                <w:sz w:val="24"/>
                <w:szCs w:val="24"/>
              </w:rPr>
            </w:pPr>
            <w:hyperlink r:id="rId19" w:history="1">
              <w:r w:rsidR="00A800E4" w:rsidRPr="00C44E5D">
                <w:rPr>
                  <w:rStyle w:val="Hyperlink"/>
                  <w:sz w:val="24"/>
                  <w:szCs w:val="24"/>
                </w:rPr>
                <w:t>snahf@pa.gov</w:t>
              </w:r>
            </w:hyperlink>
            <w:r w:rsidR="00A800E4">
              <w:rPr>
                <w:sz w:val="24"/>
                <w:szCs w:val="24"/>
              </w:rPr>
              <w:br/>
            </w:r>
            <w:r w:rsidR="00E21BA8">
              <w:rPr>
                <w:sz w:val="24"/>
                <w:szCs w:val="24"/>
              </w:rPr>
              <w:t>(717) 787-5164</w:t>
            </w:r>
          </w:p>
          <w:p w14:paraId="0AE5CF4C" w14:textId="77777777" w:rsidR="00E21BA8" w:rsidRPr="00E712F9" w:rsidRDefault="00E21BA8" w:rsidP="00465175">
            <w:pPr>
              <w:rPr>
                <w:sz w:val="24"/>
                <w:szCs w:val="24"/>
              </w:rPr>
            </w:pPr>
            <w:r>
              <w:rPr>
                <w:sz w:val="24"/>
                <w:szCs w:val="24"/>
              </w:rPr>
              <w:t>Bureau of Technical Utility Services</w:t>
            </w:r>
          </w:p>
        </w:tc>
      </w:tr>
    </w:tbl>
    <w:p w14:paraId="3231C07F" w14:textId="77777777" w:rsidR="00F3577D" w:rsidRPr="00D641D5" w:rsidRDefault="00F3577D">
      <w:pPr>
        <w:rPr>
          <w:sz w:val="24"/>
          <w:szCs w:val="24"/>
        </w:rPr>
      </w:pPr>
    </w:p>
    <w:p w14:paraId="39B2A5CC" w14:textId="77777777" w:rsidR="00F32C65" w:rsidRPr="00D641D5" w:rsidRDefault="00F32C65">
      <w:pPr>
        <w:rPr>
          <w:sz w:val="24"/>
          <w:szCs w:val="24"/>
        </w:rPr>
      </w:pPr>
    </w:p>
    <w:sectPr w:rsidR="00F32C65" w:rsidRPr="00D641D5" w:rsidSect="00CD2745">
      <w:headerReference w:type="default" r:id="rId20"/>
      <w:footerReference w:type="even" r:id="rId21"/>
      <w:footerReference w:type="default" r:id="rId22"/>
      <w:footnotePr>
        <w:numRestart w:val="eachSect"/>
      </w:footnotePr>
      <w:pgSz w:w="12240" w:h="15840" w:code="1"/>
      <w:pgMar w:top="1152" w:right="1008" w:bottom="99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D5602" w14:textId="77777777" w:rsidR="00103E22" w:rsidRDefault="00103E22">
      <w:r>
        <w:separator/>
      </w:r>
    </w:p>
  </w:endnote>
  <w:endnote w:type="continuationSeparator" w:id="0">
    <w:p w14:paraId="136E2B03" w14:textId="77777777" w:rsidR="00103E22" w:rsidRDefault="0010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DDB9" w14:textId="77777777" w:rsidR="008C6938" w:rsidRDefault="008C6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06C94F" w14:textId="77777777" w:rsidR="008C6938" w:rsidRDefault="008C6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C5A2" w14:textId="6300B33F" w:rsidR="008C6938" w:rsidRDefault="008C6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55EB">
      <w:rPr>
        <w:rStyle w:val="PageNumber"/>
        <w:noProof/>
      </w:rPr>
      <w:t>3</w:t>
    </w:r>
    <w:r>
      <w:rPr>
        <w:rStyle w:val="PageNumber"/>
      </w:rPr>
      <w:fldChar w:fldCharType="end"/>
    </w:r>
  </w:p>
  <w:p w14:paraId="5D969524" w14:textId="3F95A9BD" w:rsidR="008C6938" w:rsidRDefault="004822BD" w:rsidP="00240C77">
    <w:pPr>
      <w:pStyle w:val="Footer"/>
      <w:jc w:val="right"/>
    </w:pPr>
    <w:r>
      <w:t>Updated 201</w:t>
    </w:r>
    <w:r w:rsidR="00BD61BD">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8A99F" w14:textId="77777777" w:rsidR="00103E22" w:rsidRDefault="00103E22">
      <w:r>
        <w:separator/>
      </w:r>
    </w:p>
  </w:footnote>
  <w:footnote w:type="continuationSeparator" w:id="0">
    <w:p w14:paraId="3B373CDE" w14:textId="77777777" w:rsidR="00103E22" w:rsidRDefault="00103E22">
      <w:r>
        <w:continuationSeparator/>
      </w:r>
    </w:p>
  </w:footnote>
  <w:footnote w:id="1">
    <w:p w14:paraId="3D409ECE" w14:textId="77777777" w:rsidR="00CD2745" w:rsidRPr="00CD2745" w:rsidRDefault="008C6938" w:rsidP="00624C18">
      <w:pPr>
        <w:pStyle w:val="FootnoteText"/>
        <w:ind w:right="576"/>
      </w:pPr>
      <w:r w:rsidRPr="00D641D5">
        <w:rPr>
          <w:rStyle w:val="FootnoteReference"/>
        </w:rPr>
        <w:footnoteRef/>
      </w:r>
      <w:r>
        <w:t xml:space="preserve"> </w:t>
      </w:r>
      <w:r w:rsidR="00CD2745" w:rsidRPr="00CD2745">
        <w:t xml:space="preserve">See </w:t>
      </w:r>
      <w:r w:rsidR="00CD2745" w:rsidRPr="00CD2745">
        <w:rPr>
          <w:i/>
        </w:rPr>
        <w:t>Rulemaking Re: PUC Filing and Reporting Requirements on Local Exchange Carriers</w:t>
      </w:r>
      <w:r w:rsidR="00CD2745" w:rsidRPr="00CD2745">
        <w:t>, Docket No. L</w:t>
      </w:r>
      <w:r w:rsidR="00CD2745" w:rsidRPr="00CD2745">
        <w:noBreakHyphen/>
        <w:t>00050176 (Order entered August 21, 2006).</w:t>
      </w:r>
    </w:p>
    <w:p w14:paraId="73190FB0" w14:textId="77777777" w:rsidR="008C6938" w:rsidRPr="00D641D5" w:rsidRDefault="008C6938" w:rsidP="00ED57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B97FE" w14:textId="77777777" w:rsidR="008C6938" w:rsidRDefault="008C6938" w:rsidP="00FA727E">
    <w:pPr>
      <w:pStyle w:val="Header"/>
      <w:ind w:right="576"/>
      <w:jc w:val="center"/>
      <w:rPr>
        <w:b/>
      </w:rPr>
    </w:pPr>
    <w:r w:rsidRPr="00C72A58">
      <w:rPr>
        <w:b/>
      </w:rPr>
      <w:t>TELECOMMUN</w:t>
    </w:r>
    <w:r>
      <w:rPr>
        <w:b/>
      </w:rPr>
      <w:t>I</w:t>
    </w:r>
    <w:r w:rsidRPr="00C72A58">
      <w:rPr>
        <w:b/>
      </w:rPr>
      <w:t>CATIONS CARRIERS PA PUC REPORTING REQUIREMENTS</w:t>
    </w:r>
  </w:p>
  <w:p w14:paraId="4852C3B0" w14:textId="77777777" w:rsidR="008C6938" w:rsidRPr="00C72A58" w:rsidRDefault="008C6938" w:rsidP="00AF075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D7982"/>
    <w:multiLevelType w:val="hybridMultilevel"/>
    <w:tmpl w:val="6D828064"/>
    <w:lvl w:ilvl="0" w:tplc="43BE5850">
      <w:start w:val="1"/>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392CE0"/>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3B4921C9"/>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40CE4E94"/>
    <w:multiLevelType w:val="hybridMultilevel"/>
    <w:tmpl w:val="A71A35BC"/>
    <w:lvl w:ilvl="0" w:tplc="43BE5850">
      <w:start w:val="1"/>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CD0936"/>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4CA2395F"/>
    <w:multiLevelType w:val="hybridMultilevel"/>
    <w:tmpl w:val="567E9D30"/>
    <w:lvl w:ilvl="0" w:tplc="F26256BC">
      <w:start w:val="1"/>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0A7592"/>
    <w:multiLevelType w:val="singleLevel"/>
    <w:tmpl w:val="62F6DEF8"/>
    <w:lvl w:ilvl="0">
      <w:start w:val="11"/>
      <w:numFmt w:val="decimal"/>
      <w:lvlText w:val="%1."/>
      <w:lvlJc w:val="left"/>
      <w:pPr>
        <w:tabs>
          <w:tab w:val="num" w:pos="450"/>
        </w:tabs>
        <w:ind w:left="450" w:hanging="450"/>
      </w:pPr>
      <w:rPr>
        <w:rFonts w:hint="default"/>
      </w:rPr>
    </w:lvl>
  </w:abstractNum>
  <w:abstractNum w:abstractNumId="7" w15:restartNumberingAfterBreak="0">
    <w:nsid w:val="71743936"/>
    <w:multiLevelType w:val="hybridMultilevel"/>
    <w:tmpl w:val="2A8453B8"/>
    <w:lvl w:ilvl="0" w:tplc="F26256BC">
      <w:start w:val="1"/>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91"/>
    <w:rsid w:val="00025094"/>
    <w:rsid w:val="00043346"/>
    <w:rsid w:val="00050381"/>
    <w:rsid w:val="00060C2C"/>
    <w:rsid w:val="0007174E"/>
    <w:rsid w:val="00084410"/>
    <w:rsid w:val="00097BB9"/>
    <w:rsid w:val="000A1136"/>
    <w:rsid w:val="000B2B12"/>
    <w:rsid w:val="000B38AB"/>
    <w:rsid w:val="000C49C5"/>
    <w:rsid w:val="00100B41"/>
    <w:rsid w:val="00103E22"/>
    <w:rsid w:val="00111297"/>
    <w:rsid w:val="00116527"/>
    <w:rsid w:val="00120E29"/>
    <w:rsid w:val="00120EFA"/>
    <w:rsid w:val="001455EB"/>
    <w:rsid w:val="0017786C"/>
    <w:rsid w:val="00187BB8"/>
    <w:rsid w:val="001B1429"/>
    <w:rsid w:val="001D5830"/>
    <w:rsid w:val="001D6CAA"/>
    <w:rsid w:val="001E167B"/>
    <w:rsid w:val="00216308"/>
    <w:rsid w:val="002175FF"/>
    <w:rsid w:val="00232DC9"/>
    <w:rsid w:val="00240C77"/>
    <w:rsid w:val="00251DD0"/>
    <w:rsid w:val="00251DFC"/>
    <w:rsid w:val="00271BBD"/>
    <w:rsid w:val="00281886"/>
    <w:rsid w:val="00284198"/>
    <w:rsid w:val="00284C6C"/>
    <w:rsid w:val="00286B01"/>
    <w:rsid w:val="00290EED"/>
    <w:rsid w:val="002B3E3A"/>
    <w:rsid w:val="002C4A09"/>
    <w:rsid w:val="002C5151"/>
    <w:rsid w:val="002C7DC0"/>
    <w:rsid w:val="002E5928"/>
    <w:rsid w:val="00302BD8"/>
    <w:rsid w:val="0030490B"/>
    <w:rsid w:val="00305438"/>
    <w:rsid w:val="0032579A"/>
    <w:rsid w:val="00334D9F"/>
    <w:rsid w:val="00344DAF"/>
    <w:rsid w:val="003666FC"/>
    <w:rsid w:val="00376DCE"/>
    <w:rsid w:val="00382349"/>
    <w:rsid w:val="003928EC"/>
    <w:rsid w:val="00393E45"/>
    <w:rsid w:val="003B06D0"/>
    <w:rsid w:val="003C564E"/>
    <w:rsid w:val="003C7014"/>
    <w:rsid w:val="003C73FF"/>
    <w:rsid w:val="003D3B95"/>
    <w:rsid w:val="003E2970"/>
    <w:rsid w:val="003F2065"/>
    <w:rsid w:val="00415BD5"/>
    <w:rsid w:val="00423EFB"/>
    <w:rsid w:val="00433E62"/>
    <w:rsid w:val="00441DEE"/>
    <w:rsid w:val="00444E64"/>
    <w:rsid w:val="0044620D"/>
    <w:rsid w:val="0044726D"/>
    <w:rsid w:val="00455644"/>
    <w:rsid w:val="00465175"/>
    <w:rsid w:val="00481C3A"/>
    <w:rsid w:val="004822BD"/>
    <w:rsid w:val="004A0583"/>
    <w:rsid w:val="004A3314"/>
    <w:rsid w:val="004A6407"/>
    <w:rsid w:val="004B1A03"/>
    <w:rsid w:val="004C1C57"/>
    <w:rsid w:val="004D0C37"/>
    <w:rsid w:val="004D52DA"/>
    <w:rsid w:val="004D5A89"/>
    <w:rsid w:val="004E0F59"/>
    <w:rsid w:val="00535062"/>
    <w:rsid w:val="0054583C"/>
    <w:rsid w:val="005563DB"/>
    <w:rsid w:val="00586512"/>
    <w:rsid w:val="005A49FD"/>
    <w:rsid w:val="00620FE8"/>
    <w:rsid w:val="00624C18"/>
    <w:rsid w:val="006259B2"/>
    <w:rsid w:val="00651548"/>
    <w:rsid w:val="006529C4"/>
    <w:rsid w:val="00680F4B"/>
    <w:rsid w:val="006837A7"/>
    <w:rsid w:val="00684EF6"/>
    <w:rsid w:val="00686911"/>
    <w:rsid w:val="006C57F2"/>
    <w:rsid w:val="006C65C1"/>
    <w:rsid w:val="006D4047"/>
    <w:rsid w:val="006F4018"/>
    <w:rsid w:val="0070035A"/>
    <w:rsid w:val="00711DFC"/>
    <w:rsid w:val="00716BF0"/>
    <w:rsid w:val="0072408F"/>
    <w:rsid w:val="00732AD9"/>
    <w:rsid w:val="00737A80"/>
    <w:rsid w:val="00737AAB"/>
    <w:rsid w:val="007402B4"/>
    <w:rsid w:val="00740F63"/>
    <w:rsid w:val="00743545"/>
    <w:rsid w:val="00745B63"/>
    <w:rsid w:val="007526D7"/>
    <w:rsid w:val="007579E8"/>
    <w:rsid w:val="00761BA8"/>
    <w:rsid w:val="00762B8E"/>
    <w:rsid w:val="00767A32"/>
    <w:rsid w:val="00772DFA"/>
    <w:rsid w:val="00786F24"/>
    <w:rsid w:val="00787989"/>
    <w:rsid w:val="00787AB5"/>
    <w:rsid w:val="007A718F"/>
    <w:rsid w:val="007A775A"/>
    <w:rsid w:val="007A7E63"/>
    <w:rsid w:val="007B435D"/>
    <w:rsid w:val="007B7A7C"/>
    <w:rsid w:val="007C247E"/>
    <w:rsid w:val="007D1E4D"/>
    <w:rsid w:val="007D43FC"/>
    <w:rsid w:val="007D6979"/>
    <w:rsid w:val="007E08F7"/>
    <w:rsid w:val="007E0F97"/>
    <w:rsid w:val="007E5A16"/>
    <w:rsid w:val="008074BC"/>
    <w:rsid w:val="00810B48"/>
    <w:rsid w:val="008209F9"/>
    <w:rsid w:val="00821575"/>
    <w:rsid w:val="008421E0"/>
    <w:rsid w:val="00844B38"/>
    <w:rsid w:val="008470E7"/>
    <w:rsid w:val="00863362"/>
    <w:rsid w:val="00865E07"/>
    <w:rsid w:val="008B41AF"/>
    <w:rsid w:val="008C6938"/>
    <w:rsid w:val="008D315B"/>
    <w:rsid w:val="008E33C8"/>
    <w:rsid w:val="008F245A"/>
    <w:rsid w:val="008F6667"/>
    <w:rsid w:val="00907050"/>
    <w:rsid w:val="00924D87"/>
    <w:rsid w:val="0093227D"/>
    <w:rsid w:val="009336EB"/>
    <w:rsid w:val="00937CB4"/>
    <w:rsid w:val="00940FA5"/>
    <w:rsid w:val="00943C3F"/>
    <w:rsid w:val="0094544E"/>
    <w:rsid w:val="00953C36"/>
    <w:rsid w:val="00954545"/>
    <w:rsid w:val="0096388C"/>
    <w:rsid w:val="00966B9E"/>
    <w:rsid w:val="00983383"/>
    <w:rsid w:val="009A3648"/>
    <w:rsid w:val="009B63EB"/>
    <w:rsid w:val="009C2741"/>
    <w:rsid w:val="009C2EC6"/>
    <w:rsid w:val="009C397A"/>
    <w:rsid w:val="009D5E27"/>
    <w:rsid w:val="009E78EA"/>
    <w:rsid w:val="009F027A"/>
    <w:rsid w:val="009F63D3"/>
    <w:rsid w:val="00A01F38"/>
    <w:rsid w:val="00A048E6"/>
    <w:rsid w:val="00A21A55"/>
    <w:rsid w:val="00A350A0"/>
    <w:rsid w:val="00A37820"/>
    <w:rsid w:val="00A37F2E"/>
    <w:rsid w:val="00A43681"/>
    <w:rsid w:val="00A661FD"/>
    <w:rsid w:val="00A800E4"/>
    <w:rsid w:val="00A80C35"/>
    <w:rsid w:val="00A96499"/>
    <w:rsid w:val="00AA2591"/>
    <w:rsid w:val="00AB1AC5"/>
    <w:rsid w:val="00AB57A0"/>
    <w:rsid w:val="00AC4ED3"/>
    <w:rsid w:val="00AC6709"/>
    <w:rsid w:val="00AD3EB8"/>
    <w:rsid w:val="00AE063E"/>
    <w:rsid w:val="00AE1FA1"/>
    <w:rsid w:val="00AF0752"/>
    <w:rsid w:val="00B05F42"/>
    <w:rsid w:val="00B06BBF"/>
    <w:rsid w:val="00B15BDE"/>
    <w:rsid w:val="00B2000C"/>
    <w:rsid w:val="00B2731B"/>
    <w:rsid w:val="00B30AD7"/>
    <w:rsid w:val="00B40EAB"/>
    <w:rsid w:val="00B443FD"/>
    <w:rsid w:val="00B467E8"/>
    <w:rsid w:val="00B51CB5"/>
    <w:rsid w:val="00B552BC"/>
    <w:rsid w:val="00B66B93"/>
    <w:rsid w:val="00B75749"/>
    <w:rsid w:val="00B77464"/>
    <w:rsid w:val="00B87FA6"/>
    <w:rsid w:val="00BA15B9"/>
    <w:rsid w:val="00BA1C44"/>
    <w:rsid w:val="00BC2F4E"/>
    <w:rsid w:val="00BD2236"/>
    <w:rsid w:val="00BD61BD"/>
    <w:rsid w:val="00BF30FA"/>
    <w:rsid w:val="00C535D2"/>
    <w:rsid w:val="00C60D78"/>
    <w:rsid w:val="00C72A58"/>
    <w:rsid w:val="00C96785"/>
    <w:rsid w:val="00C96AA4"/>
    <w:rsid w:val="00C97E61"/>
    <w:rsid w:val="00CA03F7"/>
    <w:rsid w:val="00CA3B06"/>
    <w:rsid w:val="00CC0F69"/>
    <w:rsid w:val="00CD0B48"/>
    <w:rsid w:val="00CD2745"/>
    <w:rsid w:val="00D10822"/>
    <w:rsid w:val="00D14399"/>
    <w:rsid w:val="00D2418C"/>
    <w:rsid w:val="00D370E6"/>
    <w:rsid w:val="00D37349"/>
    <w:rsid w:val="00D574D0"/>
    <w:rsid w:val="00D578D3"/>
    <w:rsid w:val="00D610F7"/>
    <w:rsid w:val="00D641D5"/>
    <w:rsid w:val="00DB4AD9"/>
    <w:rsid w:val="00DC1875"/>
    <w:rsid w:val="00DD1C14"/>
    <w:rsid w:val="00DD7DF5"/>
    <w:rsid w:val="00DE4679"/>
    <w:rsid w:val="00E03A51"/>
    <w:rsid w:val="00E05AA6"/>
    <w:rsid w:val="00E10114"/>
    <w:rsid w:val="00E21BA8"/>
    <w:rsid w:val="00E244E8"/>
    <w:rsid w:val="00E355AC"/>
    <w:rsid w:val="00E43912"/>
    <w:rsid w:val="00E53748"/>
    <w:rsid w:val="00E55758"/>
    <w:rsid w:val="00E61676"/>
    <w:rsid w:val="00E67D69"/>
    <w:rsid w:val="00E712F9"/>
    <w:rsid w:val="00E713D2"/>
    <w:rsid w:val="00E81D59"/>
    <w:rsid w:val="00EB09B9"/>
    <w:rsid w:val="00EC28FE"/>
    <w:rsid w:val="00ED04C3"/>
    <w:rsid w:val="00ED57D9"/>
    <w:rsid w:val="00EF1E76"/>
    <w:rsid w:val="00F01DA6"/>
    <w:rsid w:val="00F025D6"/>
    <w:rsid w:val="00F03059"/>
    <w:rsid w:val="00F15EC6"/>
    <w:rsid w:val="00F1715E"/>
    <w:rsid w:val="00F17A9D"/>
    <w:rsid w:val="00F32C65"/>
    <w:rsid w:val="00F32CD1"/>
    <w:rsid w:val="00F3577D"/>
    <w:rsid w:val="00F36291"/>
    <w:rsid w:val="00F7629C"/>
    <w:rsid w:val="00F76DF4"/>
    <w:rsid w:val="00F97118"/>
    <w:rsid w:val="00FA727E"/>
    <w:rsid w:val="00FB0E9D"/>
    <w:rsid w:val="00FD01DC"/>
    <w:rsid w:val="00FD0EE2"/>
    <w:rsid w:val="00FE3684"/>
    <w:rsid w:val="00FE6986"/>
    <w:rsid w:val="00FF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06A0142C"/>
  <w15:docId w15:val="{663AF411-5482-4A7B-B394-DC129B52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left="720"/>
      <w:outlineLvl w:val="0"/>
    </w:pPr>
    <w:rPr>
      <w:sz w:val="26"/>
    </w:rPr>
  </w:style>
  <w:style w:type="paragraph" w:styleId="Heading2">
    <w:name w:val="heading 2"/>
    <w:basedOn w:val="Normal"/>
    <w:next w:val="Normal"/>
    <w:qFormat/>
    <w:pPr>
      <w:keepNext/>
      <w:outlineLvl w:val="1"/>
    </w:pPr>
    <w:rPr>
      <w:sz w:val="26"/>
    </w:rPr>
  </w:style>
  <w:style w:type="paragraph" w:styleId="Heading3">
    <w:name w:val="heading 3"/>
    <w:basedOn w:val="Normal"/>
    <w:next w:val="Normal"/>
    <w:qFormat/>
    <w:pPr>
      <w:keepNext/>
      <w:outlineLvl w:val="2"/>
    </w:pPr>
    <w:rPr>
      <w:b/>
      <w:sz w:val="26"/>
    </w:rPr>
  </w:style>
  <w:style w:type="paragraph" w:styleId="Heading4">
    <w:name w:val="heading 4"/>
    <w:basedOn w:val="Normal"/>
    <w:next w:val="Normal"/>
    <w:qFormat/>
    <w:pPr>
      <w:keepNext/>
      <w:outlineLvl w:val="3"/>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sz w:val="26"/>
    </w:rPr>
  </w:style>
  <w:style w:type="paragraph" w:styleId="BodyText">
    <w:name w:val="Body Text"/>
    <w:basedOn w:val="Normal"/>
    <w:rPr>
      <w:sz w:val="26"/>
    </w:rPr>
  </w:style>
  <w:style w:type="paragraph" w:styleId="BodyTextIndent2">
    <w:name w:val="Body Text Indent 2"/>
    <w:basedOn w:val="Normal"/>
    <w:pPr>
      <w:ind w:left="360"/>
    </w:pPr>
    <w:rPr>
      <w:sz w:val="26"/>
    </w:rPr>
  </w:style>
  <w:style w:type="paragraph" w:styleId="BodyTextIndent3">
    <w:name w:val="Body Text Indent 3"/>
    <w:basedOn w:val="Normal"/>
    <w:pPr>
      <w:ind w:left="360"/>
    </w:pPr>
    <w:rPr>
      <w:sz w:val="22"/>
    </w:rPr>
  </w:style>
  <w:style w:type="paragraph" w:styleId="BalloonText">
    <w:name w:val="Balloon Text"/>
    <w:basedOn w:val="Normal"/>
    <w:semiHidden/>
    <w:rsid w:val="00E713D2"/>
    <w:rPr>
      <w:rFonts w:ascii="Tahoma" w:hAnsi="Tahoma" w:cs="Tahoma"/>
      <w:sz w:val="16"/>
      <w:szCs w:val="16"/>
    </w:rPr>
  </w:style>
  <w:style w:type="table" w:styleId="TableGrid">
    <w:name w:val="Table Grid"/>
    <w:basedOn w:val="TableNormal"/>
    <w:rsid w:val="00CA0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A03F7"/>
  </w:style>
  <w:style w:type="character" w:styleId="FootnoteReference">
    <w:name w:val="footnote reference"/>
    <w:semiHidden/>
    <w:rsid w:val="00CA03F7"/>
    <w:rPr>
      <w:vertAlign w:val="superscript"/>
    </w:rPr>
  </w:style>
  <w:style w:type="paragraph" w:styleId="DocumentMap">
    <w:name w:val="Document Map"/>
    <w:basedOn w:val="Normal"/>
    <w:semiHidden/>
    <w:rsid w:val="00F15EC6"/>
    <w:pPr>
      <w:shd w:val="clear" w:color="auto" w:fill="000080"/>
    </w:pPr>
    <w:rPr>
      <w:rFonts w:ascii="Tahoma" w:hAnsi="Tahoma" w:cs="Tahoma"/>
    </w:rPr>
  </w:style>
  <w:style w:type="paragraph" w:styleId="EndnoteText">
    <w:name w:val="endnote text"/>
    <w:basedOn w:val="Normal"/>
    <w:semiHidden/>
    <w:rsid w:val="00BC2F4E"/>
  </w:style>
  <w:style w:type="character" w:styleId="EndnoteReference">
    <w:name w:val="endnote reference"/>
    <w:semiHidden/>
    <w:rsid w:val="00BC2F4E"/>
    <w:rPr>
      <w:vertAlign w:val="superscript"/>
    </w:rPr>
  </w:style>
  <w:style w:type="character" w:styleId="Hyperlink">
    <w:name w:val="Hyperlink"/>
    <w:basedOn w:val="DefaultParagraphFont"/>
    <w:rsid w:val="00A800E4"/>
    <w:rPr>
      <w:color w:val="0000FF" w:themeColor="hyperlink"/>
      <w:u w:val="single"/>
    </w:rPr>
  </w:style>
  <w:style w:type="character" w:styleId="UnresolvedMention">
    <w:name w:val="Unresolved Mention"/>
    <w:basedOn w:val="DefaultParagraphFont"/>
    <w:uiPriority w:val="99"/>
    <w:semiHidden/>
    <w:unhideWhenUsed/>
    <w:rsid w:val="00BD6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628831">
      <w:bodyDiv w:val="1"/>
      <w:marLeft w:val="0"/>
      <w:marRight w:val="0"/>
      <w:marTop w:val="0"/>
      <w:marBottom w:val="0"/>
      <w:divBdr>
        <w:top w:val="none" w:sz="0" w:space="0" w:color="auto"/>
        <w:left w:val="none" w:sz="0" w:space="0" w:color="auto"/>
        <w:bottom w:val="none" w:sz="0" w:space="0" w:color="auto"/>
        <w:right w:val="none" w:sz="0" w:space="0" w:color="auto"/>
      </w:divBdr>
    </w:div>
    <w:div w:id="89092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ahf@pa.gov" TargetMode="External"/><Relationship Id="rId13" Type="http://schemas.openxmlformats.org/officeDocument/2006/relationships/hyperlink" Target="mailto:druhl@pa.gov" TargetMode="External"/><Relationship Id="rId18" Type="http://schemas.openxmlformats.org/officeDocument/2006/relationships/hyperlink" Target="mailto:devogelson@pa.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obertaand@pa.gov" TargetMode="External"/><Relationship Id="rId17" Type="http://schemas.openxmlformats.org/officeDocument/2006/relationships/hyperlink" Target="mailto:bmahla@pa.gov" TargetMode="External"/><Relationship Id="rId2" Type="http://schemas.openxmlformats.org/officeDocument/2006/relationships/numbering" Target="numbering.xml"/><Relationship Id="rId16" Type="http://schemas.openxmlformats.org/officeDocument/2006/relationships/hyperlink" Target="mailto:robertaand@p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pomeroy@pa.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mingarell@pa.gov" TargetMode="External"/><Relationship Id="rId23" Type="http://schemas.openxmlformats.org/officeDocument/2006/relationships/fontTable" Target="fontTable.xml"/><Relationship Id="rId10" Type="http://schemas.openxmlformats.org/officeDocument/2006/relationships/hyperlink" Target="mailto:mellawrenc@pa.gov" TargetMode="External"/><Relationship Id="rId19" Type="http://schemas.openxmlformats.org/officeDocument/2006/relationships/hyperlink" Target="mailto:snahf@pa.gov" TargetMode="External"/><Relationship Id="rId4" Type="http://schemas.openxmlformats.org/officeDocument/2006/relationships/settings" Target="settings.xml"/><Relationship Id="rId9" Type="http://schemas.openxmlformats.org/officeDocument/2006/relationships/hyperlink" Target="mailto:rlayton@pa.gov" TargetMode="External"/><Relationship Id="rId14" Type="http://schemas.openxmlformats.org/officeDocument/2006/relationships/hyperlink" Target="mailto:druhl@pa.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9184B-91F5-4ECD-AD1E-00E55E48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Reporting Requirements of Telecommunication Carriers</vt:lpstr>
    </vt:vector>
  </TitlesOfParts>
  <Company>PA PUC</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Requirements of Telecommunication Carriers</dc:title>
  <dc:creator>RAMETTA</dc:creator>
  <cp:lastModifiedBy>Page, Cyndi</cp:lastModifiedBy>
  <cp:revision>2</cp:revision>
  <cp:lastPrinted>2013-12-18T14:40:00Z</cp:lastPrinted>
  <dcterms:created xsi:type="dcterms:W3CDTF">2019-02-01T15:18:00Z</dcterms:created>
  <dcterms:modified xsi:type="dcterms:W3CDTF">2019-02-01T15:18:00Z</dcterms:modified>
</cp:coreProperties>
</file>