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BA323E">
        <w:rPr>
          <w:sz w:val="24"/>
          <w:szCs w:val="24"/>
        </w:rPr>
        <w:t>10</w:t>
      </w:r>
      <w:r w:rsidR="00103A44">
        <w:rPr>
          <w:sz w:val="24"/>
          <w:szCs w:val="24"/>
        </w:rPr>
        <w:t>/</w:t>
      </w:r>
      <w:r w:rsidR="00BA323E">
        <w:rPr>
          <w:sz w:val="24"/>
          <w:szCs w:val="24"/>
        </w:rPr>
        <w:t>5</w:t>
      </w:r>
      <w:r w:rsidR="00DB7C50">
        <w:rPr>
          <w:sz w:val="24"/>
          <w:szCs w:val="24"/>
        </w:rPr>
        <w:t>/201</w:t>
      </w:r>
      <w:r w:rsidR="00944BD5">
        <w:rPr>
          <w:sz w:val="24"/>
          <w:szCs w:val="24"/>
        </w:rPr>
        <w:t>7</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EB2A34">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565699">
      <w:pPr>
        <w:rPr>
          <w:sz w:val="24"/>
          <w:szCs w:val="24"/>
        </w:rPr>
      </w:pPr>
      <w:r w:rsidRPr="00C53F4A">
        <w:rPr>
          <w:sz w:val="24"/>
          <w:szCs w:val="24"/>
        </w:rPr>
        <w:t xml:space="preserve">Agway Energy, </w:t>
      </w:r>
      <w:r w:rsidR="002C4E3C" w:rsidRPr="00C53F4A">
        <w:rPr>
          <w:sz w:val="24"/>
          <w:szCs w:val="24"/>
        </w:rPr>
        <w:t xml:space="preserve">Ambit Energy, </w:t>
      </w:r>
      <w:r w:rsidR="008938EE" w:rsidRPr="00C53F4A">
        <w:rPr>
          <w:sz w:val="24"/>
          <w:szCs w:val="24"/>
        </w:rPr>
        <w:t xml:space="preserve">ATMS, </w:t>
      </w:r>
      <w:r w:rsidR="00C53F4A" w:rsidRPr="00C53F4A">
        <w:rPr>
          <w:sz w:val="24"/>
          <w:szCs w:val="24"/>
        </w:rPr>
        <w:t xml:space="preserve">Constellation, Crius Energy, </w:t>
      </w:r>
      <w:r w:rsidR="002C4E3C" w:rsidRPr="00C53F4A">
        <w:rPr>
          <w:sz w:val="24"/>
          <w:szCs w:val="24"/>
        </w:rPr>
        <w:t xml:space="preserve">Customized Energy Solutions, </w:t>
      </w:r>
      <w:r w:rsidR="007C768A" w:rsidRPr="00C53F4A">
        <w:rPr>
          <w:sz w:val="24"/>
          <w:szCs w:val="24"/>
        </w:rPr>
        <w:t xml:space="preserve">Direct Energy, </w:t>
      </w:r>
      <w:r w:rsidR="00C53F4A" w:rsidRPr="00C53F4A">
        <w:rPr>
          <w:sz w:val="24"/>
          <w:szCs w:val="24"/>
        </w:rPr>
        <w:t xml:space="preserve">Dynegy, </w:t>
      </w:r>
      <w:r w:rsidR="006C0084" w:rsidRPr="00C53F4A">
        <w:rPr>
          <w:sz w:val="24"/>
          <w:szCs w:val="24"/>
        </w:rPr>
        <w:t>E</w:t>
      </w:r>
      <w:r w:rsidR="000B6812" w:rsidRPr="00C53F4A">
        <w:rPr>
          <w:sz w:val="24"/>
          <w:szCs w:val="24"/>
        </w:rPr>
        <w:t xml:space="preserve">C </w:t>
      </w:r>
      <w:proofErr w:type="spellStart"/>
      <w:r w:rsidR="000B6812" w:rsidRPr="00C53F4A">
        <w:rPr>
          <w:sz w:val="24"/>
          <w:szCs w:val="24"/>
        </w:rPr>
        <w:t>Infos</w:t>
      </w:r>
      <w:r w:rsidR="00E96369" w:rsidRPr="00C53F4A">
        <w:rPr>
          <w:sz w:val="24"/>
          <w:szCs w:val="24"/>
        </w:rPr>
        <w:t>ystems</w:t>
      </w:r>
      <w:proofErr w:type="spellEnd"/>
      <w:r w:rsidR="00E96369" w:rsidRPr="00C53F4A">
        <w:rPr>
          <w:sz w:val="24"/>
          <w:szCs w:val="24"/>
        </w:rPr>
        <w:t xml:space="preserve">, </w:t>
      </w:r>
      <w:r w:rsidR="007C768A" w:rsidRPr="00C53F4A">
        <w:rPr>
          <w:sz w:val="24"/>
          <w:szCs w:val="24"/>
        </w:rPr>
        <w:t xml:space="preserve">Energy Services Group, First Energy Solutions, </w:t>
      </w:r>
      <w:r w:rsidRPr="00C53F4A">
        <w:rPr>
          <w:sz w:val="24"/>
          <w:szCs w:val="24"/>
        </w:rPr>
        <w:t xml:space="preserve">Hansen Technologies, </w:t>
      </w:r>
      <w:r w:rsidR="006D7443" w:rsidRPr="00C53F4A">
        <w:rPr>
          <w:sz w:val="24"/>
          <w:szCs w:val="24"/>
        </w:rPr>
        <w:t xml:space="preserve">IGS Energy, </w:t>
      </w:r>
      <w:proofErr w:type="spellStart"/>
      <w:r w:rsidR="006D7443" w:rsidRPr="00C53F4A">
        <w:rPr>
          <w:sz w:val="24"/>
          <w:szCs w:val="24"/>
        </w:rPr>
        <w:t>Intelometry</w:t>
      </w:r>
      <w:proofErr w:type="spellEnd"/>
      <w:r w:rsidR="006D7443" w:rsidRPr="00C53F4A">
        <w:rPr>
          <w:sz w:val="24"/>
          <w:szCs w:val="24"/>
        </w:rPr>
        <w:t xml:space="preserve">, </w:t>
      </w:r>
      <w:r w:rsidRPr="00C53F4A">
        <w:rPr>
          <w:sz w:val="24"/>
          <w:szCs w:val="24"/>
        </w:rPr>
        <w:t xml:space="preserve">Liberty Power, </w:t>
      </w:r>
      <w:proofErr w:type="spellStart"/>
      <w:r w:rsidR="006D7443" w:rsidRPr="00C53F4A">
        <w:rPr>
          <w:sz w:val="24"/>
          <w:szCs w:val="24"/>
        </w:rPr>
        <w:t>Market</w:t>
      </w:r>
      <w:r w:rsidR="00C13B9C" w:rsidRPr="00C53F4A">
        <w:rPr>
          <w:sz w:val="24"/>
          <w:szCs w:val="24"/>
        </w:rPr>
        <w:t>WISE</w:t>
      </w:r>
      <w:proofErr w:type="spellEnd"/>
      <w:r w:rsidR="00F6718D" w:rsidRPr="00C53F4A">
        <w:rPr>
          <w:sz w:val="24"/>
          <w:szCs w:val="24"/>
        </w:rPr>
        <w:t xml:space="preserve">, </w:t>
      </w:r>
      <w:r w:rsidR="004163F2">
        <w:rPr>
          <w:sz w:val="24"/>
          <w:szCs w:val="24"/>
        </w:rPr>
        <w:t xml:space="preserve">PA Gas &amp; Electric, </w:t>
      </w:r>
      <w:proofErr w:type="spellStart"/>
      <w:r w:rsidR="003D38CE" w:rsidRPr="00C53F4A">
        <w:rPr>
          <w:sz w:val="24"/>
          <w:szCs w:val="24"/>
        </w:rPr>
        <w:t>Sperian</w:t>
      </w:r>
      <w:proofErr w:type="spellEnd"/>
      <w:r w:rsidR="003D38CE" w:rsidRPr="00C53F4A">
        <w:rPr>
          <w:sz w:val="24"/>
          <w:szCs w:val="24"/>
        </w:rPr>
        <w:t xml:space="preserve"> Energy</w:t>
      </w:r>
      <w:r w:rsidR="002C4E3C" w:rsidRPr="00C53F4A">
        <w:rPr>
          <w:sz w:val="24"/>
          <w:szCs w:val="24"/>
        </w:rPr>
        <w:t xml:space="preserve">, </w:t>
      </w:r>
      <w:proofErr w:type="spellStart"/>
      <w:r w:rsidR="002C4E3C" w:rsidRPr="00C53F4A">
        <w:rPr>
          <w:sz w:val="24"/>
          <w:szCs w:val="24"/>
        </w:rPr>
        <w:t>Starion</w:t>
      </w:r>
      <w:proofErr w:type="spellEnd"/>
      <w:r w:rsidR="002C4E3C" w:rsidRPr="00C53F4A">
        <w:rPr>
          <w:sz w:val="24"/>
          <w:szCs w:val="24"/>
        </w:rPr>
        <w:t xml:space="preserve"> Energy, </w:t>
      </w:r>
      <w:r w:rsidR="00C53F4A" w:rsidRPr="00C53F4A">
        <w:rPr>
          <w:sz w:val="24"/>
          <w:szCs w:val="24"/>
        </w:rPr>
        <w:t xml:space="preserve">UGI Energy Services, </w:t>
      </w:r>
      <w:r w:rsidR="004163F2">
        <w:rPr>
          <w:sz w:val="24"/>
          <w:szCs w:val="24"/>
        </w:rPr>
        <w:t xml:space="preserve">Verde Energy, </w:t>
      </w:r>
      <w:r w:rsidR="00C53F4A" w:rsidRPr="00C53F4A">
        <w:rPr>
          <w:sz w:val="24"/>
          <w:szCs w:val="24"/>
        </w:rPr>
        <w:t>WGL Energy</w:t>
      </w:r>
    </w:p>
    <w:p w:rsidR="003D38CE" w:rsidRDefault="003D38C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 xml:space="preserve">Jeff McCracken </w:t>
      </w:r>
      <w:r w:rsidR="004163F2">
        <w:rPr>
          <w:bCs/>
          <w:color w:val="000000"/>
          <w:sz w:val="24"/>
          <w:szCs w:val="24"/>
        </w:rPr>
        <w:t xml:space="preserve">&amp; Lee Yalcin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 xml:space="preserve">Brandon Siegel, </w:t>
      </w:r>
      <w:proofErr w:type="spellStart"/>
      <w:r w:rsidRPr="00F6511A">
        <w:rPr>
          <w:sz w:val="24"/>
          <w:szCs w:val="24"/>
        </w:rPr>
        <w:t>Intelometry</w:t>
      </w:r>
      <w:proofErr w:type="spellEnd"/>
      <w:r w:rsidRPr="00F6511A">
        <w:rPr>
          <w:sz w:val="24"/>
          <w:szCs w:val="24"/>
        </w:rPr>
        <w:t xml:space="preserve"> (Secretary / Change Control Manager) commenced roll call</w:t>
      </w:r>
      <w:r>
        <w:rPr>
          <w:sz w:val="24"/>
          <w:szCs w:val="24"/>
        </w:rPr>
        <w:t xml:space="preserve"> and Christine </w:t>
      </w:r>
      <w:proofErr w:type="spellStart"/>
      <w:r>
        <w:rPr>
          <w:sz w:val="24"/>
          <w:szCs w:val="24"/>
        </w:rPr>
        <w:t>Hughey</w:t>
      </w:r>
      <w:proofErr w:type="spellEnd"/>
      <w:r>
        <w:rPr>
          <w:sz w:val="24"/>
          <w:szCs w:val="24"/>
        </w:rPr>
        <w:t xml:space="preserve">, </w:t>
      </w:r>
      <w:proofErr w:type="spellStart"/>
      <w:r>
        <w:rPr>
          <w:sz w:val="24"/>
          <w:szCs w:val="24"/>
        </w:rPr>
        <w:t>Sperian</w:t>
      </w:r>
      <w:proofErr w:type="spellEnd"/>
      <w:r>
        <w:rPr>
          <w:sz w:val="24"/>
          <w:szCs w:val="24"/>
        </w:rPr>
        <w:t xml:space="preserve"> Energy (Co-chair, Supplier)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Pr>
          <w:sz w:val="24"/>
          <w:szCs w:val="24"/>
        </w:rPr>
        <w:t xml:space="preserve">Sue Scheetz, PPL EU (Co-chair, Utility), </w:t>
      </w:r>
      <w:r w:rsidR="007C768A">
        <w:rPr>
          <w:sz w:val="24"/>
          <w:szCs w:val="24"/>
        </w:rPr>
        <w:t xml:space="preserve">Jeff McCracken </w:t>
      </w:r>
      <w:r w:rsidR="004163F2">
        <w:rPr>
          <w:sz w:val="24"/>
          <w:szCs w:val="24"/>
        </w:rPr>
        <w:t>&amp; Lee Yalcin</w:t>
      </w:r>
      <w:r w:rsidR="007C768A">
        <w:rPr>
          <w:sz w:val="24"/>
          <w:szCs w:val="24"/>
        </w:rPr>
        <w:t xml:space="preserve">- </w:t>
      </w:r>
      <w:r w:rsidR="00EB2A34">
        <w:rPr>
          <w:sz w:val="24"/>
          <w:szCs w:val="24"/>
        </w:rPr>
        <w:t xml:space="preserve"> </w:t>
      </w:r>
      <w:r w:rsidR="008938EE">
        <w:rPr>
          <w:sz w:val="24"/>
          <w:szCs w:val="24"/>
        </w:rPr>
        <w:t>PA PUC (EDEWG Liaison</w:t>
      </w:r>
      <w:r w:rsidR="007C768A">
        <w:rPr>
          <w:sz w:val="24"/>
          <w:szCs w:val="24"/>
        </w:rPr>
        <w:t>s</w:t>
      </w:r>
      <w:r w:rsidR="008938EE">
        <w:rPr>
          <w:sz w:val="24"/>
          <w:szCs w:val="24"/>
        </w:rPr>
        <w:t>)</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4163F2">
        <w:rPr>
          <w:b w:val="0"/>
          <w:color w:val="000000"/>
          <w:szCs w:val="24"/>
        </w:rPr>
        <w:t>September</w:t>
      </w:r>
      <w:r>
        <w:rPr>
          <w:b w:val="0"/>
          <w:color w:val="000000"/>
          <w:szCs w:val="24"/>
        </w:rPr>
        <w:t xml:space="preserve"> meeting without revision.</w:t>
      </w:r>
    </w:p>
    <w:p w:rsidR="00F56A0A" w:rsidRDefault="00F56A0A" w:rsidP="00F56A0A"/>
    <w:p w:rsidR="007556B7" w:rsidRDefault="007556B7" w:rsidP="00572A6B">
      <w:pPr>
        <w:pStyle w:val="Heading2"/>
        <w:numPr>
          <w:ilvl w:val="1"/>
          <w:numId w:val="1"/>
        </w:numPr>
        <w:ind w:left="360"/>
        <w:rPr>
          <w:color w:val="000000"/>
          <w:szCs w:val="24"/>
        </w:rPr>
      </w:pPr>
      <w:r>
        <w:rPr>
          <w:color w:val="000000"/>
          <w:szCs w:val="24"/>
        </w:rPr>
        <w:t>Virtual Net Metering – status update/next steps</w:t>
      </w:r>
    </w:p>
    <w:p w:rsidR="007556B7" w:rsidRDefault="007556B7" w:rsidP="007556B7">
      <w:pPr>
        <w:rPr>
          <w:sz w:val="24"/>
          <w:szCs w:val="24"/>
        </w:rPr>
      </w:pPr>
      <w:r>
        <w:rPr>
          <w:sz w:val="24"/>
          <w:szCs w:val="24"/>
        </w:rPr>
        <w:t xml:space="preserve">During the June meeting, the group discussed as new business EDCs have a need to report customer generation under a ‘virtual net meter’ scenario.   This is </w:t>
      </w:r>
      <w:r w:rsidR="00A44FD0">
        <w:rPr>
          <w:sz w:val="24"/>
          <w:szCs w:val="24"/>
        </w:rPr>
        <w:t>like</w:t>
      </w:r>
      <w:r>
        <w:rPr>
          <w:sz w:val="24"/>
          <w:szCs w:val="24"/>
        </w:rPr>
        <w:t xml:space="preserve"> the Aggregate Net Energy Metering process used in Maryland where a ‘parent’ account’s excess generation is applied to ‘child’ account</w:t>
      </w:r>
      <w:r w:rsidR="00A4570A">
        <w:rPr>
          <w:sz w:val="24"/>
          <w:szCs w:val="24"/>
        </w:rPr>
        <w:t>(</w:t>
      </w:r>
      <w:r>
        <w:rPr>
          <w:sz w:val="24"/>
          <w:szCs w:val="24"/>
        </w:rPr>
        <w:t>s</w:t>
      </w:r>
      <w:r w:rsidR="00A4570A">
        <w:rPr>
          <w:sz w:val="24"/>
          <w:szCs w:val="24"/>
        </w:rPr>
        <w:t>)</w:t>
      </w:r>
      <w:r>
        <w:rPr>
          <w:sz w:val="24"/>
          <w:szCs w:val="24"/>
        </w:rPr>
        <w:t>.  FirstEnergy spoke during the June meeting and was to request a formal change control to aide in identifying these types of customers.</w:t>
      </w:r>
      <w:r w:rsidR="004163F2">
        <w:rPr>
          <w:sz w:val="24"/>
          <w:szCs w:val="24"/>
        </w:rPr>
        <w:t xml:space="preserve">   During the August meeting, FirstEnergy stated they’re pending internal decision whether to pursue the contract control discussed back in June.   First Energy will contact EDEWG should they wish to pursue any formal change request.</w:t>
      </w:r>
    </w:p>
    <w:p w:rsidR="007556B7" w:rsidRDefault="007556B7" w:rsidP="007556B7">
      <w:pPr>
        <w:rPr>
          <w:sz w:val="24"/>
          <w:szCs w:val="24"/>
        </w:rPr>
      </w:pPr>
    </w:p>
    <w:p w:rsidR="007556B7" w:rsidRPr="004163F2" w:rsidRDefault="007556B7" w:rsidP="004163F2">
      <w:pPr>
        <w:rPr>
          <w:sz w:val="24"/>
          <w:szCs w:val="24"/>
        </w:rPr>
      </w:pPr>
      <w:r w:rsidRPr="004163F2">
        <w:rPr>
          <w:sz w:val="24"/>
          <w:szCs w:val="24"/>
        </w:rPr>
        <w:t>The EDEWG stated it will follow the lead being done by the Maryland EDI Sub-group and present the proposed changes to the 867MU once MD completes their effort</w:t>
      </w:r>
      <w:r w:rsidR="00182D35" w:rsidRPr="004163F2">
        <w:rPr>
          <w:sz w:val="24"/>
          <w:szCs w:val="24"/>
        </w:rPr>
        <w:t xml:space="preserve"> later this year</w:t>
      </w:r>
      <w:r w:rsidRPr="004163F2">
        <w:rPr>
          <w:sz w:val="24"/>
          <w:szCs w:val="24"/>
        </w:rPr>
        <w:t>.   In adva</w:t>
      </w:r>
      <w:r w:rsidR="00182D35" w:rsidRPr="004163F2">
        <w:rPr>
          <w:sz w:val="24"/>
          <w:szCs w:val="24"/>
        </w:rPr>
        <w:t>nce of this, the EDEWG requests</w:t>
      </w:r>
      <w:r w:rsidRPr="004163F2">
        <w:rPr>
          <w:sz w:val="24"/>
          <w:szCs w:val="24"/>
        </w:rPr>
        <w:t xml:space="preserve"> each of the PA EDCs who have a virtual net metering program to provide a high-level overview to EDEWG.   This will help the EDEWG gain a better understanding when designing an EDI solution and/or a need for defined business rules.   </w:t>
      </w:r>
      <w:r w:rsidR="004163F2">
        <w:rPr>
          <w:sz w:val="24"/>
          <w:szCs w:val="24"/>
        </w:rPr>
        <w:t xml:space="preserve">EDEWG leadership put together a brief high-level questionnaire and distributed across the EDCs.   Those </w:t>
      </w:r>
      <w:r w:rsidRPr="004163F2">
        <w:rPr>
          <w:sz w:val="24"/>
          <w:szCs w:val="24"/>
        </w:rPr>
        <w:t>who have these programs were asked, if possible, to provide their overview in advance of the October meeting.</w:t>
      </w:r>
    </w:p>
    <w:p w:rsidR="00C6489C" w:rsidRDefault="00C6489C" w:rsidP="00C6489C">
      <w:pPr>
        <w:pStyle w:val="ListParagraph"/>
        <w:rPr>
          <w:sz w:val="24"/>
          <w:szCs w:val="24"/>
        </w:rPr>
      </w:pPr>
    </w:p>
    <w:p w:rsidR="00C6489C" w:rsidRDefault="00416D1F" w:rsidP="00E57E24">
      <w:pPr>
        <w:pStyle w:val="ListParagraph"/>
        <w:numPr>
          <w:ilvl w:val="0"/>
          <w:numId w:val="3"/>
        </w:numPr>
        <w:rPr>
          <w:sz w:val="24"/>
          <w:szCs w:val="24"/>
        </w:rPr>
      </w:pPr>
      <w:r>
        <w:rPr>
          <w:sz w:val="24"/>
          <w:szCs w:val="24"/>
        </w:rPr>
        <w:t>PPL – provided a few minutes before the October meeting.   Brandon will review and circulate in advance of the November meeting.</w:t>
      </w:r>
    </w:p>
    <w:p w:rsidR="00416D1F" w:rsidRDefault="00416D1F" w:rsidP="00E57E24">
      <w:pPr>
        <w:pStyle w:val="ListParagraph"/>
        <w:numPr>
          <w:ilvl w:val="0"/>
          <w:numId w:val="3"/>
        </w:numPr>
        <w:rPr>
          <w:sz w:val="24"/>
          <w:szCs w:val="24"/>
        </w:rPr>
      </w:pPr>
      <w:r>
        <w:rPr>
          <w:sz w:val="24"/>
          <w:szCs w:val="24"/>
        </w:rPr>
        <w:lastRenderedPageBreak/>
        <w:t>PECO – developed internal detailed plan for both commercial and non-commercial customers due to separate process/rules for each.   Stated they would summarize into the EDEWG questionnaire format and provide back to EDEWG separately for each classification prior to the November meeting.</w:t>
      </w:r>
    </w:p>
    <w:p w:rsidR="00416D1F" w:rsidRDefault="00416D1F" w:rsidP="00E57E24">
      <w:pPr>
        <w:pStyle w:val="ListParagraph"/>
        <w:numPr>
          <w:ilvl w:val="0"/>
          <w:numId w:val="3"/>
        </w:numPr>
        <w:rPr>
          <w:sz w:val="24"/>
          <w:szCs w:val="24"/>
        </w:rPr>
      </w:pPr>
      <w:r>
        <w:rPr>
          <w:sz w:val="24"/>
          <w:szCs w:val="24"/>
        </w:rPr>
        <w:t>Duquesne Light – pending internal review, will target prior to November meeting</w:t>
      </w:r>
    </w:p>
    <w:p w:rsidR="00416D1F" w:rsidRDefault="00416D1F" w:rsidP="00E57E24">
      <w:pPr>
        <w:pStyle w:val="ListParagraph"/>
        <w:numPr>
          <w:ilvl w:val="0"/>
          <w:numId w:val="3"/>
        </w:numPr>
        <w:rPr>
          <w:sz w:val="24"/>
          <w:szCs w:val="24"/>
        </w:rPr>
      </w:pPr>
      <w:r>
        <w:rPr>
          <w:sz w:val="24"/>
          <w:szCs w:val="24"/>
        </w:rPr>
        <w:t>UGI – Brandon to send questionnaire to Christine.   UGI stated they only have 1 customer with virtual net metering and the customers in the ‘virtual group’ must be within 1 mile of each other.</w:t>
      </w:r>
    </w:p>
    <w:p w:rsidR="00416D1F" w:rsidRPr="00C6489C" w:rsidRDefault="00416D1F" w:rsidP="00E57E24">
      <w:pPr>
        <w:pStyle w:val="ListParagraph"/>
        <w:numPr>
          <w:ilvl w:val="0"/>
          <w:numId w:val="3"/>
        </w:numPr>
        <w:rPr>
          <w:sz w:val="24"/>
          <w:szCs w:val="24"/>
        </w:rPr>
      </w:pPr>
      <w:r>
        <w:rPr>
          <w:sz w:val="24"/>
          <w:szCs w:val="24"/>
        </w:rPr>
        <w:t xml:space="preserve">Citizens &amp; Wellsboro – stated they do have virtual net metering, Brandon will send them the questionnaire. </w:t>
      </w:r>
    </w:p>
    <w:p w:rsidR="007556B7" w:rsidRDefault="007556B7" w:rsidP="007556B7">
      <w:pPr>
        <w:rPr>
          <w:sz w:val="24"/>
          <w:szCs w:val="24"/>
        </w:rPr>
      </w:pPr>
    </w:p>
    <w:p w:rsidR="005B5C55" w:rsidRDefault="005B5C55" w:rsidP="00572A6B">
      <w:pPr>
        <w:pStyle w:val="Heading2"/>
        <w:numPr>
          <w:ilvl w:val="1"/>
          <w:numId w:val="1"/>
        </w:numPr>
        <w:ind w:left="360"/>
        <w:rPr>
          <w:color w:val="000000"/>
          <w:szCs w:val="24"/>
        </w:rPr>
      </w:pPr>
      <w:r>
        <w:rPr>
          <w:color w:val="000000"/>
          <w:szCs w:val="24"/>
        </w:rPr>
        <w:t xml:space="preserve">PPL EDI CC #131 </w:t>
      </w:r>
      <w:r w:rsidR="00651A9D">
        <w:rPr>
          <w:color w:val="000000"/>
          <w:szCs w:val="24"/>
        </w:rPr>
        <w:t>– Change of Interval Usage Increment:  Status Update</w:t>
      </w:r>
    </w:p>
    <w:p w:rsidR="00651A9D" w:rsidRDefault="00651A9D" w:rsidP="00651A9D">
      <w:pPr>
        <w:rPr>
          <w:sz w:val="24"/>
          <w:szCs w:val="24"/>
        </w:rPr>
      </w:pPr>
      <w:r>
        <w:rPr>
          <w:sz w:val="24"/>
          <w:szCs w:val="24"/>
        </w:rPr>
        <w:t>Sue Scheetz (PPL EU) stated PPL will be not be implementing EDI CC#131 (Change of Interval Usage Increment) specific to the EDI 867IU until sometime in mid/late November.   The actual date of this will be reported via PPL email to their supplier distribution with another status update during our November meeting.  The 867HI portion of this change remains pending with no target date.</w:t>
      </w:r>
    </w:p>
    <w:p w:rsidR="00651A9D" w:rsidRPr="00651A9D" w:rsidRDefault="00651A9D" w:rsidP="00651A9D">
      <w:pPr>
        <w:rPr>
          <w:sz w:val="24"/>
          <w:szCs w:val="24"/>
        </w:rPr>
      </w:pPr>
    </w:p>
    <w:p w:rsidR="00651A9D" w:rsidRDefault="00651A9D" w:rsidP="00572A6B">
      <w:pPr>
        <w:pStyle w:val="Heading2"/>
        <w:numPr>
          <w:ilvl w:val="1"/>
          <w:numId w:val="1"/>
        </w:numPr>
        <w:ind w:left="360"/>
        <w:rPr>
          <w:color w:val="000000"/>
          <w:szCs w:val="24"/>
        </w:rPr>
      </w:pPr>
      <w:r>
        <w:rPr>
          <w:color w:val="000000"/>
          <w:szCs w:val="24"/>
        </w:rPr>
        <w:t>Addition of Citizens, Wellsboro and Pike County to Pennsylvania (regional) EDI standards</w:t>
      </w:r>
    </w:p>
    <w:p w:rsidR="00651A9D" w:rsidRDefault="00651A9D" w:rsidP="00651A9D">
      <w:pPr>
        <w:rPr>
          <w:sz w:val="24"/>
          <w:szCs w:val="24"/>
        </w:rPr>
      </w:pPr>
      <w:r>
        <w:rPr>
          <w:sz w:val="24"/>
          <w:szCs w:val="24"/>
        </w:rPr>
        <w:t xml:space="preserve">The current regional EDI implementation guidelines which covers Pennsylvania does not include Citizens, Wellsboro or Pike.    Brandon recently received email notification that Pike has gone through an ownership change.   It’s unclear whether Pike will continue to use NY EDI or consider adopting the PA EDI.   Due to this uncertainty, Pike will be excluded from any efforts to add them to the PA EDI standards now.   Monica </w:t>
      </w:r>
      <w:proofErr w:type="spellStart"/>
      <w:r>
        <w:rPr>
          <w:sz w:val="24"/>
          <w:szCs w:val="24"/>
        </w:rPr>
        <w:t>Neibert</w:t>
      </w:r>
      <w:proofErr w:type="spellEnd"/>
      <w:r>
        <w:rPr>
          <w:sz w:val="24"/>
          <w:szCs w:val="24"/>
        </w:rPr>
        <w:t xml:space="preserve"> (Energy Services Group) stated she would work with the EDEWG to submit the EDI Change Controls necessary to add Citizens &amp; Wellsboro to the PA EDI standards.   Brandon stated he would like to have those changes approved by the EDEWG during the December meeting so he can work on the annual version update during the holidays.   Before proceeding, Monica will reach out to Brandon to discuss the effort and scope of the change controls.</w:t>
      </w:r>
    </w:p>
    <w:p w:rsidR="00651A9D" w:rsidRPr="00651A9D" w:rsidRDefault="00651A9D" w:rsidP="00651A9D">
      <w:pPr>
        <w:rPr>
          <w:sz w:val="24"/>
          <w:szCs w:val="24"/>
        </w:rPr>
      </w:pPr>
    </w:p>
    <w:p w:rsidR="00114BB6" w:rsidRDefault="004C78EB" w:rsidP="00572A6B">
      <w:pPr>
        <w:pStyle w:val="Heading2"/>
        <w:numPr>
          <w:ilvl w:val="1"/>
          <w:numId w:val="1"/>
        </w:numPr>
        <w:ind w:left="360"/>
        <w:rPr>
          <w:color w:val="000000"/>
          <w:szCs w:val="24"/>
        </w:rPr>
      </w:pPr>
      <w:r>
        <w:rPr>
          <w:color w:val="000000"/>
          <w:szCs w:val="24"/>
        </w:rPr>
        <w:t>New Business</w:t>
      </w:r>
    </w:p>
    <w:p w:rsidR="00A44FD0" w:rsidRDefault="00C61149" w:rsidP="00E57E24">
      <w:pPr>
        <w:pStyle w:val="ListParagraph"/>
        <w:numPr>
          <w:ilvl w:val="0"/>
          <w:numId w:val="4"/>
        </w:numPr>
        <w:rPr>
          <w:sz w:val="24"/>
          <w:szCs w:val="24"/>
        </w:rPr>
      </w:pPr>
      <w:r w:rsidRPr="00A44FD0">
        <w:rPr>
          <w:sz w:val="24"/>
          <w:szCs w:val="24"/>
        </w:rPr>
        <w:t>UGI Utilities provided the following update on last month’s CIS conversion…</w:t>
      </w:r>
    </w:p>
    <w:p w:rsidR="00A44FD0" w:rsidRDefault="00C61149" w:rsidP="00E57E24">
      <w:pPr>
        <w:pStyle w:val="ListParagraph"/>
        <w:numPr>
          <w:ilvl w:val="1"/>
          <w:numId w:val="4"/>
        </w:numPr>
        <w:rPr>
          <w:sz w:val="24"/>
          <w:szCs w:val="24"/>
        </w:rPr>
      </w:pPr>
      <w:r w:rsidRPr="00A44FD0">
        <w:rPr>
          <w:sz w:val="24"/>
          <w:szCs w:val="24"/>
        </w:rPr>
        <w:t>Officially live on Labor Day @ 5PM Eastern</w:t>
      </w:r>
    </w:p>
    <w:p w:rsidR="00A44FD0" w:rsidRDefault="00A44FD0" w:rsidP="00E57E24">
      <w:pPr>
        <w:pStyle w:val="ListParagraph"/>
        <w:numPr>
          <w:ilvl w:val="1"/>
          <w:numId w:val="4"/>
        </w:numPr>
        <w:rPr>
          <w:sz w:val="24"/>
          <w:szCs w:val="24"/>
        </w:rPr>
      </w:pPr>
      <w:r w:rsidRPr="00A44FD0">
        <w:rPr>
          <w:sz w:val="24"/>
          <w:szCs w:val="24"/>
        </w:rPr>
        <w:t>UGI progressing through various items, a few to note…</w:t>
      </w:r>
    </w:p>
    <w:p w:rsidR="00A44FD0" w:rsidRDefault="00A44FD0" w:rsidP="00E57E24">
      <w:pPr>
        <w:pStyle w:val="ListParagraph"/>
        <w:numPr>
          <w:ilvl w:val="2"/>
          <w:numId w:val="4"/>
        </w:numPr>
        <w:rPr>
          <w:sz w:val="24"/>
          <w:szCs w:val="24"/>
        </w:rPr>
      </w:pPr>
      <w:r w:rsidRPr="00A44FD0">
        <w:rPr>
          <w:sz w:val="24"/>
          <w:szCs w:val="24"/>
        </w:rPr>
        <w:t>An 820 issue should be addressed by end of week.</w:t>
      </w:r>
    </w:p>
    <w:p w:rsidR="00A44FD0" w:rsidRDefault="00A44FD0" w:rsidP="00E57E24">
      <w:pPr>
        <w:pStyle w:val="ListParagraph"/>
        <w:numPr>
          <w:ilvl w:val="2"/>
          <w:numId w:val="4"/>
        </w:numPr>
        <w:rPr>
          <w:sz w:val="24"/>
          <w:szCs w:val="24"/>
        </w:rPr>
      </w:pPr>
      <w:r w:rsidRPr="00A44FD0">
        <w:rPr>
          <w:sz w:val="24"/>
          <w:szCs w:val="24"/>
        </w:rPr>
        <w:t>A few 867/810 issues are currently being addressed</w:t>
      </w:r>
    </w:p>
    <w:p w:rsidR="00A44FD0" w:rsidRPr="00A44FD0" w:rsidRDefault="00A44FD0" w:rsidP="00E57E24">
      <w:pPr>
        <w:pStyle w:val="ListParagraph"/>
        <w:numPr>
          <w:ilvl w:val="1"/>
          <w:numId w:val="4"/>
        </w:numPr>
        <w:rPr>
          <w:sz w:val="24"/>
          <w:szCs w:val="24"/>
        </w:rPr>
      </w:pPr>
      <w:r w:rsidRPr="00A44FD0">
        <w:rPr>
          <w:sz w:val="24"/>
          <w:szCs w:val="24"/>
        </w:rPr>
        <w:t>UGI continues to work with suppliers to mitigate customer impact</w:t>
      </w:r>
    </w:p>
    <w:p w:rsidR="00A44FD0" w:rsidRDefault="00A44FD0" w:rsidP="00A44FD0">
      <w:pPr>
        <w:rPr>
          <w:sz w:val="24"/>
          <w:szCs w:val="24"/>
        </w:rPr>
      </w:pPr>
    </w:p>
    <w:p w:rsidR="00A44FD0" w:rsidRPr="00A44FD0" w:rsidRDefault="00A44FD0" w:rsidP="00E57E24">
      <w:pPr>
        <w:pStyle w:val="ListParagraph"/>
        <w:numPr>
          <w:ilvl w:val="0"/>
          <w:numId w:val="2"/>
        </w:numPr>
        <w:rPr>
          <w:sz w:val="24"/>
          <w:szCs w:val="24"/>
        </w:rPr>
      </w:pPr>
      <w:r>
        <w:rPr>
          <w:sz w:val="24"/>
          <w:szCs w:val="24"/>
        </w:rPr>
        <w:t>Deb Belin (</w:t>
      </w:r>
      <w:proofErr w:type="spellStart"/>
      <w:r>
        <w:rPr>
          <w:sz w:val="24"/>
          <w:szCs w:val="24"/>
        </w:rPr>
        <w:t>MarketWISE</w:t>
      </w:r>
      <w:proofErr w:type="spellEnd"/>
      <w:r>
        <w:rPr>
          <w:sz w:val="24"/>
          <w:szCs w:val="24"/>
        </w:rPr>
        <w:t xml:space="preserve">) asked Duquesne Light if there is any status update on an email Duquesne sent out in May regarding an update to their NAESB solution.   </w:t>
      </w:r>
      <w:proofErr w:type="spellStart"/>
      <w:r>
        <w:rPr>
          <w:sz w:val="24"/>
          <w:szCs w:val="24"/>
        </w:rPr>
        <w:t>Markia</w:t>
      </w:r>
      <w:proofErr w:type="spellEnd"/>
      <w:r>
        <w:rPr>
          <w:sz w:val="24"/>
          <w:szCs w:val="24"/>
        </w:rPr>
        <w:t xml:space="preserve"> Banks (Duquesne) stated there are other items on their IT roadmap with higher priority.   She hopes to have an update during the November meeting.</w:t>
      </w:r>
    </w:p>
    <w:p w:rsidR="00C61149" w:rsidRPr="00C61149" w:rsidRDefault="00C61149" w:rsidP="00C61149"/>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182D35" w:rsidP="008C3A7D">
      <w:pPr>
        <w:autoSpaceDE w:val="0"/>
        <w:autoSpaceDN w:val="0"/>
        <w:adjustRightInd w:val="0"/>
        <w:rPr>
          <w:sz w:val="24"/>
          <w:szCs w:val="24"/>
        </w:rPr>
      </w:pPr>
      <w:r>
        <w:rPr>
          <w:sz w:val="24"/>
          <w:szCs w:val="24"/>
        </w:rPr>
        <w:t>T</w:t>
      </w:r>
      <w:r w:rsidR="00EA433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A44FD0">
        <w:rPr>
          <w:sz w:val="24"/>
          <w:szCs w:val="24"/>
        </w:rPr>
        <w:t>November</w:t>
      </w:r>
      <w:r w:rsidRPr="00C6489C">
        <w:rPr>
          <w:sz w:val="24"/>
          <w:szCs w:val="24"/>
        </w:rPr>
        <w:t xml:space="preserve"> </w:t>
      </w:r>
      <w:r w:rsidR="00A44FD0">
        <w:rPr>
          <w:sz w:val="24"/>
          <w:szCs w:val="24"/>
        </w:rPr>
        <w:t>2</w:t>
      </w:r>
      <w:r w:rsidR="00A44FD0" w:rsidRPr="00A44FD0">
        <w:rPr>
          <w:sz w:val="24"/>
          <w:szCs w:val="24"/>
          <w:vertAlign w:val="superscript"/>
        </w:rPr>
        <w:t>nd</w:t>
      </w:r>
      <w:r w:rsidR="00A44FD0">
        <w:rPr>
          <w:sz w:val="24"/>
          <w:szCs w:val="24"/>
        </w:rPr>
        <w:t xml:space="preserve"> </w:t>
      </w:r>
      <w:r w:rsidR="00E538C5" w:rsidRPr="00C6489C">
        <w:rPr>
          <w:sz w:val="24"/>
          <w:szCs w:val="24"/>
        </w:rPr>
        <w:t>at 2</w:t>
      </w:r>
      <w:r w:rsidR="00454621" w:rsidRPr="00C6489C">
        <w:rPr>
          <w:sz w:val="24"/>
          <w:szCs w:val="24"/>
        </w:rPr>
        <w:t>PM ET</w:t>
      </w:r>
      <w:r w:rsidRPr="00C6489C">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E7" w:rsidRDefault="002908E7">
      <w:r>
        <w:separator/>
      </w:r>
    </w:p>
  </w:endnote>
  <w:endnote w:type="continuationSeparator" w:id="0">
    <w:p w:rsidR="002908E7" w:rsidRDefault="0029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C8658C">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E7" w:rsidRDefault="002908E7">
      <w:r>
        <w:separator/>
      </w:r>
    </w:p>
  </w:footnote>
  <w:footnote w:type="continuationSeparator" w:id="0">
    <w:p w:rsidR="002908E7" w:rsidRDefault="0029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 w15:restartNumberingAfterBreak="0">
    <w:nsid w:val="6922114A"/>
    <w:multiLevelType w:val="hybridMultilevel"/>
    <w:tmpl w:val="0E4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08E7"/>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3F2"/>
    <w:rsid w:val="004169B2"/>
    <w:rsid w:val="00416C1F"/>
    <w:rsid w:val="00416D1F"/>
    <w:rsid w:val="004171F3"/>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34B7"/>
    <w:rsid w:val="00463B5A"/>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069B"/>
    <w:rsid w:val="005910E8"/>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658C"/>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B444-8703-43FD-A38A-EB018CD2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5447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2017-11-02T19:19:00Z</dcterms:created>
  <dcterms:modified xsi:type="dcterms:W3CDTF">2017-11-02T19:19:00Z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