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B22216">
        <w:rPr>
          <w:sz w:val="32"/>
          <w:szCs w:val="32"/>
        </w:rPr>
        <w:t>3/</w:t>
      </w:r>
      <w:r w:rsidR="003A4418">
        <w:rPr>
          <w:sz w:val="32"/>
          <w:szCs w:val="32"/>
        </w:rPr>
        <w:t>15</w:t>
      </w:r>
      <w:r w:rsidR="00CB5BE8">
        <w:rPr>
          <w:sz w:val="32"/>
          <w:szCs w:val="32"/>
        </w:rPr>
        <w:t>/2016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696220">
        <w:rPr>
          <w:sz w:val="24"/>
          <w:szCs w:val="24"/>
        </w:rPr>
        <w:t xml:space="preserve">PPL,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="00DD17E8">
        <w:rPr>
          <w:sz w:val="24"/>
          <w:szCs w:val="24"/>
        </w:rPr>
        <w:t xml:space="preserve"> IGS, </w:t>
      </w:r>
      <w:r w:rsidR="00CB5BE8">
        <w:rPr>
          <w:sz w:val="24"/>
          <w:szCs w:val="24"/>
        </w:rPr>
        <w:t>Constellation</w:t>
      </w:r>
      <w:r w:rsidR="0010648D">
        <w:rPr>
          <w:sz w:val="24"/>
          <w:szCs w:val="24"/>
        </w:rPr>
        <w:t>,</w:t>
      </w:r>
      <w:r w:rsidR="00696220">
        <w:rPr>
          <w:sz w:val="24"/>
          <w:szCs w:val="24"/>
        </w:rPr>
        <w:t xml:space="preserve"> First</w:t>
      </w:r>
      <w:r w:rsidR="00B80638">
        <w:rPr>
          <w:sz w:val="24"/>
          <w:szCs w:val="24"/>
        </w:rPr>
        <w:t xml:space="preserve"> E</w:t>
      </w:r>
      <w:r w:rsidR="009947EE">
        <w:rPr>
          <w:sz w:val="24"/>
          <w:szCs w:val="24"/>
        </w:rPr>
        <w:t>nergy Solutions, Customized Energy Solutions, PPL Solutions</w:t>
      </w:r>
      <w:r w:rsidR="00D43B6F">
        <w:rPr>
          <w:sz w:val="24"/>
          <w:szCs w:val="24"/>
        </w:rPr>
        <w:t xml:space="preserve">, EC </w:t>
      </w:r>
      <w:proofErr w:type="spellStart"/>
      <w:r w:rsidR="00D43B6F">
        <w:rPr>
          <w:sz w:val="24"/>
          <w:szCs w:val="24"/>
        </w:rPr>
        <w:t>InfoSystems</w:t>
      </w:r>
      <w:proofErr w:type="spellEnd"/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BD4C52">
        <w:rPr>
          <w:sz w:val="24"/>
          <w:szCs w:val="24"/>
        </w:rPr>
        <w:t>Jeff McCracken (PUC Staff)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513554" w:rsidRDefault="00265681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Roll Call</w:t>
      </w:r>
    </w:p>
    <w:p w:rsidR="00513554" w:rsidRPr="00513554" w:rsidRDefault="0051355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WPWG extension filing</w:t>
      </w:r>
    </w:p>
    <w:p w:rsidR="00513554" w:rsidRPr="00513554" w:rsidRDefault="0051355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 xml:space="preserve">Examples of </w:t>
      </w:r>
      <w:proofErr w:type="spellStart"/>
      <w:r w:rsidRPr="00513554">
        <w:rPr>
          <w:sz w:val="24"/>
          <w:szCs w:val="24"/>
        </w:rPr>
        <w:t>StS</w:t>
      </w:r>
      <w:proofErr w:type="spellEnd"/>
      <w:r w:rsidRPr="00513554">
        <w:rPr>
          <w:sz w:val="24"/>
          <w:szCs w:val="24"/>
        </w:rPr>
        <w:t xml:space="preserve"> WSDL Historical Usage &amp; </w:t>
      </w:r>
      <w:proofErr w:type="spellStart"/>
      <w:r w:rsidRPr="00513554">
        <w:rPr>
          <w:sz w:val="24"/>
          <w:szCs w:val="24"/>
        </w:rPr>
        <w:t>StS</w:t>
      </w:r>
      <w:proofErr w:type="spellEnd"/>
      <w:r w:rsidRPr="00513554">
        <w:rPr>
          <w:sz w:val="24"/>
          <w:szCs w:val="24"/>
        </w:rPr>
        <w:t xml:space="preserve"> Rolling 10-day for inclusion into each standard</w:t>
      </w:r>
    </w:p>
    <w:p w:rsidR="00513554" w:rsidRPr="00513554" w:rsidRDefault="00513554" w:rsidP="00513554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Refer to table in 2/16 minutes for list of examples.</w:t>
      </w:r>
    </w:p>
    <w:p w:rsidR="00513554" w:rsidRDefault="0051355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Status of Standards Documentation.</w:t>
      </w:r>
    </w:p>
    <w:p w:rsidR="009947EE" w:rsidRPr="00513554" w:rsidRDefault="009947EE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Data at Rest discussion – PECO to lead</w:t>
      </w:r>
    </w:p>
    <w:p w:rsidR="00513554" w:rsidRDefault="00513554" w:rsidP="00513554">
      <w:pPr>
        <w:pStyle w:val="ListParagraph"/>
        <w:ind w:left="888"/>
        <w:rPr>
          <w:color w:val="000000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03644B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CE69A1" w:rsidRPr="0003644B" w:rsidRDefault="0026733D" w:rsidP="00D74E7A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b w:val="0"/>
          <w:szCs w:val="24"/>
        </w:rPr>
      </w:pPr>
      <w:r w:rsidRPr="0003644B">
        <w:rPr>
          <w:b w:val="0"/>
          <w:szCs w:val="24"/>
        </w:rPr>
        <w:t>Roll Call</w:t>
      </w:r>
      <w:r w:rsidR="00B903E4" w:rsidRPr="0003644B">
        <w:rPr>
          <w:b w:val="0"/>
          <w:szCs w:val="24"/>
        </w:rPr>
        <w:t xml:space="preserve">:  </w:t>
      </w:r>
      <w:r w:rsidR="00513554">
        <w:rPr>
          <w:b w:val="0"/>
          <w:szCs w:val="24"/>
        </w:rPr>
        <w:t>Sue Scheetz</w:t>
      </w:r>
      <w:r w:rsidR="00BD4C52" w:rsidRPr="0003644B">
        <w:rPr>
          <w:b w:val="0"/>
          <w:szCs w:val="24"/>
        </w:rPr>
        <w:t xml:space="preserve"> (</w:t>
      </w:r>
      <w:r w:rsidR="00513554">
        <w:rPr>
          <w:b w:val="0"/>
          <w:szCs w:val="24"/>
        </w:rPr>
        <w:t>PPL</w:t>
      </w:r>
      <w:r w:rsidR="00BD4C52" w:rsidRPr="0003644B">
        <w:rPr>
          <w:b w:val="0"/>
          <w:szCs w:val="24"/>
        </w:rPr>
        <w:t>)</w:t>
      </w:r>
      <w:r w:rsidR="00792698" w:rsidRPr="0003644B">
        <w:rPr>
          <w:b w:val="0"/>
          <w:szCs w:val="24"/>
        </w:rPr>
        <w:t xml:space="preserve"> </w:t>
      </w:r>
      <w:r w:rsidR="00DB429E" w:rsidRPr="0003644B">
        <w:rPr>
          <w:b w:val="0"/>
          <w:szCs w:val="24"/>
        </w:rPr>
        <w:t>commenced roll</w:t>
      </w:r>
      <w:r w:rsidR="00C60386" w:rsidRPr="0003644B">
        <w:rPr>
          <w:b w:val="0"/>
          <w:szCs w:val="24"/>
        </w:rPr>
        <w:t xml:space="preserve"> call</w:t>
      </w:r>
      <w:r w:rsidR="00265681" w:rsidRPr="0003644B">
        <w:rPr>
          <w:b w:val="0"/>
          <w:szCs w:val="24"/>
        </w:rPr>
        <w:t xml:space="preserve">.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BD4C52" w:rsidRDefault="00513554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The</w:t>
      </w:r>
      <w:r w:rsidR="00B903E4">
        <w:rPr>
          <w:b w:val="0"/>
          <w:color w:val="000000"/>
          <w:szCs w:val="24"/>
        </w:rPr>
        <w:t xml:space="preserve"> EDEWG</w:t>
      </w:r>
      <w:r w:rsidR="00BD4C52">
        <w:rPr>
          <w:b w:val="0"/>
          <w:color w:val="000000"/>
          <w:szCs w:val="24"/>
        </w:rPr>
        <w:t xml:space="preserve"> </w:t>
      </w:r>
      <w:r w:rsidR="00B903E4">
        <w:rPr>
          <w:b w:val="0"/>
          <w:color w:val="000000"/>
          <w:szCs w:val="24"/>
        </w:rPr>
        <w:t xml:space="preserve">Leadership’s extension request letter is complete </w:t>
      </w:r>
      <w:r>
        <w:rPr>
          <w:b w:val="0"/>
          <w:color w:val="000000"/>
          <w:szCs w:val="24"/>
        </w:rPr>
        <w:t>and has been filed with the PA PUC as of 2/22/2016.</w:t>
      </w:r>
      <w:r w:rsidR="00B903E4">
        <w:rPr>
          <w:b w:val="0"/>
          <w:color w:val="000000"/>
          <w:szCs w:val="24"/>
        </w:rPr>
        <w:t xml:space="preserve">  The request is to extend the </w:t>
      </w:r>
      <w:r w:rsidR="00BD4C52">
        <w:rPr>
          <w:b w:val="0"/>
          <w:color w:val="000000"/>
          <w:szCs w:val="24"/>
        </w:rPr>
        <w:t xml:space="preserve">deadline to file the Standards with the Commission </w:t>
      </w:r>
      <w:r w:rsidR="00B903E4">
        <w:rPr>
          <w:b w:val="0"/>
          <w:color w:val="000000"/>
          <w:szCs w:val="24"/>
        </w:rPr>
        <w:t>March 3</w:t>
      </w:r>
      <w:r w:rsidR="00B903E4" w:rsidRPr="00BD4C52">
        <w:rPr>
          <w:b w:val="0"/>
          <w:color w:val="000000"/>
          <w:szCs w:val="24"/>
          <w:vertAlign w:val="superscript"/>
        </w:rPr>
        <w:t>rd</w:t>
      </w:r>
      <w:r w:rsidR="00B903E4">
        <w:rPr>
          <w:b w:val="0"/>
          <w:color w:val="000000"/>
          <w:szCs w:val="24"/>
        </w:rPr>
        <w:t xml:space="preserve"> </w:t>
      </w:r>
      <w:r w:rsidR="00BD4C52">
        <w:rPr>
          <w:b w:val="0"/>
          <w:color w:val="000000"/>
          <w:szCs w:val="24"/>
        </w:rPr>
        <w:t>to April 8</w:t>
      </w:r>
      <w:r w:rsidR="00BD4C52" w:rsidRPr="00BD4C52">
        <w:rPr>
          <w:b w:val="0"/>
          <w:color w:val="000000"/>
          <w:szCs w:val="24"/>
          <w:vertAlign w:val="superscript"/>
        </w:rPr>
        <w:t>th</w:t>
      </w:r>
      <w:r w:rsidR="00BD4C52">
        <w:rPr>
          <w:b w:val="0"/>
          <w:color w:val="000000"/>
          <w:szCs w:val="24"/>
        </w:rPr>
        <w:t>, 2016</w:t>
      </w:r>
      <w:r w:rsidR="009947EE">
        <w:rPr>
          <w:b w:val="0"/>
          <w:color w:val="000000"/>
          <w:szCs w:val="24"/>
        </w:rPr>
        <w:t xml:space="preserve"> is approved</w:t>
      </w:r>
      <w:r>
        <w:rPr>
          <w:b w:val="0"/>
          <w:color w:val="000000"/>
          <w:szCs w:val="24"/>
        </w:rPr>
        <w:t>.</w:t>
      </w:r>
    </w:p>
    <w:p w:rsidR="00EC492B" w:rsidRPr="00EC492B" w:rsidRDefault="00EC492B" w:rsidP="00EC492B"/>
    <w:p w:rsidR="0003644B" w:rsidRPr="0003644B" w:rsidRDefault="00513554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provided examples.</w:t>
      </w:r>
    </w:p>
    <w:p w:rsidR="0003644B" w:rsidRPr="0003644B" w:rsidRDefault="00F312D1" w:rsidP="0003644B">
      <w:pPr>
        <w:pStyle w:val="Heading2"/>
        <w:ind w:left="360"/>
        <w:rPr>
          <w:b w:val="0"/>
          <w:color w:val="000000"/>
          <w:szCs w:val="24"/>
        </w:rPr>
      </w:pPr>
      <w:r w:rsidRPr="0003644B">
        <w:rPr>
          <w:b w:val="0"/>
          <w:color w:val="000000"/>
          <w:szCs w:val="24"/>
        </w:rPr>
        <w:t xml:space="preserve">  </w:t>
      </w:r>
    </w:p>
    <w:p w:rsidR="0003644B" w:rsidRPr="0003644B" w:rsidRDefault="0003644B" w:rsidP="0003644B">
      <w:pPr>
        <w:pStyle w:val="Heading2"/>
        <w:ind w:left="360"/>
        <w:rPr>
          <w:b w:val="0"/>
          <w:color w:val="000000"/>
          <w:szCs w:val="24"/>
        </w:rPr>
      </w:pPr>
      <w:proofErr w:type="spellStart"/>
      <w:r w:rsidRPr="0003644B">
        <w:rPr>
          <w:b w:val="0"/>
          <w:color w:val="000000"/>
          <w:szCs w:val="24"/>
        </w:rPr>
        <w:t>StS</w:t>
      </w:r>
      <w:proofErr w:type="spellEnd"/>
      <w:r w:rsidRPr="0003644B">
        <w:rPr>
          <w:b w:val="0"/>
          <w:color w:val="000000"/>
          <w:szCs w:val="24"/>
        </w:rPr>
        <w:t xml:space="preserve"> Historical Usage (WSDL)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5"/>
        <w:gridCol w:w="1710"/>
        <w:gridCol w:w="1620"/>
      </w:tblGrid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Use Case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Account Level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Level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Standard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Increment Interval Change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Daylight Savings Time (Spring &amp; Fall)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Exchange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N/A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Net Metering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No</w:t>
            </w:r>
          </w:p>
        </w:tc>
      </w:tr>
    </w:tbl>
    <w:p w:rsidR="0003644B" w:rsidRPr="0003644B" w:rsidRDefault="0003644B" w:rsidP="0003644B">
      <w:pPr>
        <w:pStyle w:val="Heading2"/>
        <w:ind w:left="360"/>
        <w:rPr>
          <w:b w:val="0"/>
          <w:color w:val="000000"/>
          <w:szCs w:val="24"/>
        </w:rPr>
      </w:pPr>
    </w:p>
    <w:p w:rsidR="00513554" w:rsidRDefault="0003644B" w:rsidP="0003644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13554" w:rsidRDefault="00513554" w:rsidP="0003644B">
      <w:pPr>
        <w:rPr>
          <w:sz w:val="24"/>
          <w:szCs w:val="24"/>
        </w:rPr>
      </w:pPr>
    </w:p>
    <w:p w:rsidR="00513554" w:rsidRDefault="00513554" w:rsidP="0003644B">
      <w:pPr>
        <w:rPr>
          <w:sz w:val="24"/>
          <w:szCs w:val="24"/>
        </w:rPr>
      </w:pPr>
    </w:p>
    <w:p w:rsidR="009947EE" w:rsidRDefault="009947EE" w:rsidP="00513554">
      <w:pPr>
        <w:ind w:firstLine="720"/>
        <w:rPr>
          <w:sz w:val="24"/>
          <w:szCs w:val="24"/>
        </w:rPr>
      </w:pPr>
    </w:p>
    <w:p w:rsidR="009947EE" w:rsidRDefault="009947EE" w:rsidP="00513554">
      <w:pPr>
        <w:ind w:firstLine="720"/>
        <w:rPr>
          <w:sz w:val="24"/>
          <w:szCs w:val="24"/>
        </w:rPr>
      </w:pPr>
    </w:p>
    <w:p w:rsidR="009947EE" w:rsidRDefault="009947EE" w:rsidP="00513554">
      <w:pPr>
        <w:ind w:firstLine="720"/>
        <w:rPr>
          <w:sz w:val="24"/>
          <w:szCs w:val="24"/>
        </w:rPr>
      </w:pPr>
    </w:p>
    <w:p w:rsidR="0003644B" w:rsidRPr="0003644B" w:rsidRDefault="0003644B" w:rsidP="00513554">
      <w:pPr>
        <w:ind w:firstLine="720"/>
        <w:rPr>
          <w:sz w:val="24"/>
          <w:szCs w:val="24"/>
        </w:rPr>
      </w:pPr>
      <w:proofErr w:type="spellStart"/>
      <w:r w:rsidRPr="0003644B">
        <w:rPr>
          <w:sz w:val="24"/>
          <w:szCs w:val="24"/>
        </w:rPr>
        <w:t>StS</w:t>
      </w:r>
      <w:proofErr w:type="spellEnd"/>
      <w:r w:rsidRPr="0003644B">
        <w:rPr>
          <w:sz w:val="24"/>
          <w:szCs w:val="24"/>
        </w:rPr>
        <w:t xml:space="preserve"> Rolling 10-day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5"/>
        <w:gridCol w:w="1620"/>
      </w:tblGrid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Use Case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Level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Standard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Increment Interval Change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Daylight Savings Time (Spring &amp; Fall)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Exchange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Net Metering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No</w:t>
            </w:r>
          </w:p>
        </w:tc>
      </w:tr>
    </w:tbl>
    <w:p w:rsidR="0003644B" w:rsidRDefault="0003644B" w:rsidP="0003644B">
      <w:pPr>
        <w:pStyle w:val="Heading2"/>
        <w:ind w:left="360"/>
        <w:rPr>
          <w:b w:val="0"/>
          <w:color w:val="000000"/>
          <w:szCs w:val="24"/>
        </w:rPr>
      </w:pPr>
    </w:p>
    <w:p w:rsidR="009947EE" w:rsidRDefault="00B10FC5" w:rsidP="009947EE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Sue to update documents</w:t>
      </w:r>
    </w:p>
    <w:p w:rsidR="009947EE" w:rsidRDefault="009947EE" w:rsidP="009947EE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Account Level rolling 10-day not needed</w:t>
      </w:r>
    </w:p>
    <w:p w:rsidR="009947EE" w:rsidRPr="009947EE" w:rsidRDefault="009947EE" w:rsidP="009947EE"/>
    <w:p w:rsidR="00F312D1" w:rsidRDefault="00F312D1" w:rsidP="00970476">
      <w:pPr>
        <w:pStyle w:val="Heading2"/>
        <w:ind w:left="360"/>
        <w:rPr>
          <w:b w:val="0"/>
          <w:color w:val="000000"/>
          <w:szCs w:val="24"/>
        </w:rPr>
      </w:pPr>
    </w:p>
    <w:p w:rsidR="00513554" w:rsidRDefault="009947EE" w:rsidP="0051355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Data at Rest</w:t>
      </w:r>
    </w:p>
    <w:p w:rsidR="0037220F" w:rsidRDefault="009947EE" w:rsidP="00513554">
      <w:pPr>
        <w:rPr>
          <w:sz w:val="24"/>
          <w:szCs w:val="24"/>
        </w:rPr>
      </w:pPr>
      <w:r>
        <w:rPr>
          <w:sz w:val="24"/>
          <w:szCs w:val="24"/>
        </w:rPr>
        <w:t xml:space="preserve">PECO will </w:t>
      </w:r>
      <w:proofErr w:type="gramStart"/>
      <w:r>
        <w:rPr>
          <w:sz w:val="24"/>
          <w:szCs w:val="24"/>
        </w:rPr>
        <w:t>provide</w:t>
      </w:r>
      <w:r w:rsidR="00B10FC5"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a document </w:t>
      </w:r>
      <w:r w:rsidRPr="009947EE">
        <w:rPr>
          <w:sz w:val="24"/>
          <w:szCs w:val="24"/>
        </w:rPr>
        <w:t>on recommended verbiage for ‘Data at rest’</w:t>
      </w:r>
      <w:r>
        <w:rPr>
          <w:sz w:val="24"/>
          <w:szCs w:val="24"/>
        </w:rPr>
        <w:t>.</w:t>
      </w:r>
      <w:r w:rsidR="00B10FC5">
        <w:rPr>
          <w:sz w:val="24"/>
          <w:szCs w:val="24"/>
        </w:rPr>
        <w:t xml:space="preserve">  The Team read it over and there were no comments.</w:t>
      </w:r>
    </w:p>
    <w:p w:rsidR="00B10FC5" w:rsidRDefault="00B10FC5" w:rsidP="00513554">
      <w:pPr>
        <w:rPr>
          <w:sz w:val="24"/>
          <w:szCs w:val="24"/>
        </w:rPr>
      </w:pPr>
    </w:p>
    <w:p w:rsidR="00B10FC5" w:rsidRPr="00953BEA" w:rsidRDefault="00B10FC5" w:rsidP="00953BE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953BEA">
        <w:rPr>
          <w:b w:val="0"/>
          <w:color w:val="000000"/>
          <w:szCs w:val="24"/>
        </w:rPr>
        <w:t xml:space="preserve">The two standards documents for SU-MR and </w:t>
      </w:r>
      <w:proofErr w:type="spellStart"/>
      <w:r w:rsidRPr="00953BEA">
        <w:rPr>
          <w:b w:val="0"/>
          <w:color w:val="000000"/>
          <w:szCs w:val="24"/>
        </w:rPr>
        <w:t>StS</w:t>
      </w:r>
      <w:proofErr w:type="spellEnd"/>
      <w:r w:rsidRPr="00953BEA">
        <w:rPr>
          <w:b w:val="0"/>
          <w:color w:val="000000"/>
          <w:szCs w:val="24"/>
        </w:rPr>
        <w:t xml:space="preserve"> HIU were sent to the </w:t>
      </w:r>
      <w:proofErr w:type="spellStart"/>
      <w:r w:rsidRPr="00953BEA">
        <w:rPr>
          <w:b w:val="0"/>
          <w:color w:val="000000"/>
          <w:szCs w:val="24"/>
        </w:rPr>
        <w:t>listserver</w:t>
      </w:r>
      <w:proofErr w:type="spellEnd"/>
      <w:r w:rsidRPr="00953BEA">
        <w:rPr>
          <w:b w:val="0"/>
          <w:color w:val="000000"/>
          <w:szCs w:val="24"/>
        </w:rPr>
        <w:t xml:space="preserve"> for review.  We’ve asked that the Team review the documents and be prepared to comments by the next meeting.</w:t>
      </w:r>
      <w:r w:rsidR="003E11AB">
        <w:rPr>
          <w:b w:val="0"/>
          <w:color w:val="000000"/>
          <w:szCs w:val="24"/>
        </w:rPr>
        <w:t xml:space="preserve">  Brandon is working on the </w:t>
      </w:r>
      <w:proofErr w:type="spellStart"/>
      <w:r w:rsidR="003E11AB">
        <w:rPr>
          <w:b w:val="0"/>
          <w:color w:val="000000"/>
          <w:szCs w:val="24"/>
        </w:rPr>
        <w:t>StS</w:t>
      </w:r>
      <w:proofErr w:type="spellEnd"/>
      <w:r w:rsidR="003E11AB">
        <w:rPr>
          <w:b w:val="0"/>
          <w:color w:val="000000"/>
          <w:szCs w:val="24"/>
        </w:rPr>
        <w:t xml:space="preserve"> Rolling 10 day and it will be posted when ready.</w:t>
      </w:r>
    </w:p>
    <w:p w:rsidR="0037220F" w:rsidRPr="00953BEA" w:rsidRDefault="0037220F" w:rsidP="00953BEA">
      <w:pPr>
        <w:pStyle w:val="Heading2"/>
        <w:ind w:left="360"/>
        <w:rPr>
          <w:color w:val="000000"/>
          <w:szCs w:val="24"/>
        </w:rPr>
      </w:pPr>
    </w:p>
    <w:p w:rsidR="00513554" w:rsidRPr="00513554" w:rsidRDefault="00513554" w:rsidP="00513554"/>
    <w:p w:rsidR="0026733D" w:rsidRPr="00F312D1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312D1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F774DA">
        <w:rPr>
          <w:sz w:val="24"/>
          <w:szCs w:val="24"/>
        </w:rPr>
        <w:t xml:space="preserve">March </w:t>
      </w:r>
      <w:r w:rsidR="00B10FC5">
        <w:rPr>
          <w:sz w:val="24"/>
          <w:szCs w:val="24"/>
        </w:rPr>
        <w:t>22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 w:rsidR="00B10FC5">
        <w:rPr>
          <w:sz w:val="24"/>
          <w:szCs w:val="24"/>
        </w:rPr>
        <w:t>3-4:40 P.M.</w:t>
      </w:r>
      <w:r w:rsidR="00454621" w:rsidRPr="00FD42C3">
        <w:rPr>
          <w:sz w:val="24"/>
          <w:szCs w:val="24"/>
        </w:rPr>
        <w:t xml:space="preserve"> ET</w:t>
      </w:r>
      <w:r w:rsidR="003A4418">
        <w:rPr>
          <w:sz w:val="24"/>
          <w:szCs w:val="24"/>
        </w:rPr>
        <w:t xml:space="preserve"> for an extended 90 minutes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9947EE">
        <w:rPr>
          <w:b/>
          <w:bCs/>
          <w:color w:val="000000"/>
          <w:sz w:val="24"/>
          <w:szCs w:val="24"/>
        </w:rPr>
        <w:t>41691751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FC" w:rsidRDefault="004C4AFC">
      <w:r>
        <w:separator/>
      </w:r>
    </w:p>
  </w:endnote>
  <w:endnote w:type="continuationSeparator" w:id="0">
    <w:p w:rsidR="004C4AFC" w:rsidRDefault="004C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3A5B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FC" w:rsidRDefault="004C4AFC">
      <w:r>
        <w:separator/>
      </w:r>
    </w:p>
  </w:footnote>
  <w:footnote w:type="continuationSeparator" w:id="0">
    <w:p w:rsidR="004C4AFC" w:rsidRDefault="004C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6C3A6268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0736C00"/>
    <w:multiLevelType w:val="hybridMultilevel"/>
    <w:tmpl w:val="765C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BD0"/>
    <w:multiLevelType w:val="hybridMultilevel"/>
    <w:tmpl w:val="402AF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3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7"/>
  </w:num>
  <w:num w:numId="21">
    <w:abstractNumId w:val="7"/>
  </w:num>
  <w:num w:numId="22">
    <w:abstractNumId w:val="23"/>
  </w:num>
  <w:num w:numId="23">
    <w:abstractNumId w:val="2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5"/>
  </w:num>
  <w:num w:numId="29">
    <w:abstractNumId w:val="8"/>
  </w:num>
  <w:num w:numId="30">
    <w:abstractNumId w:val="1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3644B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0648D"/>
    <w:rsid w:val="001109F2"/>
    <w:rsid w:val="00110A08"/>
    <w:rsid w:val="0011104E"/>
    <w:rsid w:val="001153CA"/>
    <w:rsid w:val="00116213"/>
    <w:rsid w:val="00116D6F"/>
    <w:rsid w:val="00117406"/>
    <w:rsid w:val="001217C2"/>
    <w:rsid w:val="00122479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49B0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220F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4418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11AB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4AFC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C0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59EA"/>
    <w:rsid w:val="00507AA1"/>
    <w:rsid w:val="00510DCD"/>
    <w:rsid w:val="00512D2D"/>
    <w:rsid w:val="00513084"/>
    <w:rsid w:val="0051355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34C0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96220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5B12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90E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3BEA"/>
    <w:rsid w:val="00954401"/>
    <w:rsid w:val="0095520E"/>
    <w:rsid w:val="0095541A"/>
    <w:rsid w:val="00956047"/>
    <w:rsid w:val="00964193"/>
    <w:rsid w:val="009645C1"/>
    <w:rsid w:val="00965C59"/>
    <w:rsid w:val="009703CB"/>
    <w:rsid w:val="00970476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947EE"/>
    <w:rsid w:val="009A16B5"/>
    <w:rsid w:val="009A2353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3DCB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0FC5"/>
    <w:rsid w:val="00B158E2"/>
    <w:rsid w:val="00B169AD"/>
    <w:rsid w:val="00B17A3F"/>
    <w:rsid w:val="00B21592"/>
    <w:rsid w:val="00B215B4"/>
    <w:rsid w:val="00B22216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4445"/>
    <w:rsid w:val="00B66027"/>
    <w:rsid w:val="00B667A0"/>
    <w:rsid w:val="00B66976"/>
    <w:rsid w:val="00B6724E"/>
    <w:rsid w:val="00B71A19"/>
    <w:rsid w:val="00B75E04"/>
    <w:rsid w:val="00B772F8"/>
    <w:rsid w:val="00B80638"/>
    <w:rsid w:val="00B824D7"/>
    <w:rsid w:val="00B842D2"/>
    <w:rsid w:val="00B84552"/>
    <w:rsid w:val="00B85FC0"/>
    <w:rsid w:val="00B87705"/>
    <w:rsid w:val="00B903E4"/>
    <w:rsid w:val="00B93FF3"/>
    <w:rsid w:val="00B96135"/>
    <w:rsid w:val="00B97CA2"/>
    <w:rsid w:val="00BA33BA"/>
    <w:rsid w:val="00BA3922"/>
    <w:rsid w:val="00BA3A5B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4C52"/>
    <w:rsid w:val="00BD6F05"/>
    <w:rsid w:val="00BD7EA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37389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232D"/>
    <w:rsid w:val="00CD33B5"/>
    <w:rsid w:val="00CD42BB"/>
    <w:rsid w:val="00CD4663"/>
    <w:rsid w:val="00CD4C8B"/>
    <w:rsid w:val="00CD5AB9"/>
    <w:rsid w:val="00CD5E70"/>
    <w:rsid w:val="00CD705D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B6F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564A"/>
    <w:rsid w:val="00DC6BD0"/>
    <w:rsid w:val="00DD17E8"/>
    <w:rsid w:val="00DD2044"/>
    <w:rsid w:val="00DD211E"/>
    <w:rsid w:val="00DD2438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492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583C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2D1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774DA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0517-29AE-41DA-8073-D6EB9E95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1948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2016-03-15T13:07:00Z</cp:lastPrinted>
  <dcterms:created xsi:type="dcterms:W3CDTF">2016-03-25T15:05:00Z</dcterms:created>
  <dcterms:modified xsi:type="dcterms:W3CDTF">2016-03-25T15:05:00Z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