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BD4C52">
        <w:rPr>
          <w:sz w:val="32"/>
          <w:szCs w:val="32"/>
        </w:rPr>
        <w:t>2</w:t>
      </w:r>
      <w:r w:rsidR="0010648D">
        <w:rPr>
          <w:sz w:val="32"/>
          <w:szCs w:val="32"/>
        </w:rPr>
        <w:t>/</w:t>
      </w:r>
      <w:r w:rsidR="004E3EC0">
        <w:rPr>
          <w:sz w:val="32"/>
          <w:szCs w:val="32"/>
        </w:rPr>
        <w:t>16</w:t>
      </w:r>
      <w:r w:rsidR="00CB5BE8">
        <w:rPr>
          <w:sz w:val="32"/>
          <w:szCs w:val="32"/>
        </w:rPr>
        <w:t>/2016</w:t>
      </w:r>
      <w:bookmarkStart w:id="0" w:name="_GoBack"/>
      <w:bookmarkEnd w:id="0"/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 xml:space="preserve">, </w:t>
      </w:r>
      <w:r w:rsidR="00CB5BE8">
        <w:rPr>
          <w:sz w:val="24"/>
          <w:szCs w:val="24"/>
        </w:rPr>
        <w:t>Duquesne</w:t>
      </w:r>
      <w:r w:rsidR="00B903E4">
        <w:rPr>
          <w:sz w:val="24"/>
          <w:szCs w:val="24"/>
        </w:rPr>
        <w:t xml:space="preserve"> Light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="00DD17E8">
        <w:rPr>
          <w:sz w:val="24"/>
          <w:szCs w:val="24"/>
        </w:rPr>
        <w:t xml:space="preserve"> IGS, </w:t>
      </w:r>
      <w:r w:rsidR="00CB5BE8">
        <w:rPr>
          <w:sz w:val="24"/>
          <w:szCs w:val="24"/>
        </w:rPr>
        <w:t>Latitude Technology, Constellation</w:t>
      </w:r>
      <w:r w:rsidR="0010648D">
        <w:rPr>
          <w:sz w:val="24"/>
          <w:szCs w:val="24"/>
        </w:rPr>
        <w:t xml:space="preserve">, </w:t>
      </w:r>
      <w:r w:rsidR="00BD4C52">
        <w:rPr>
          <w:sz w:val="24"/>
          <w:szCs w:val="24"/>
        </w:rPr>
        <w:t>Intelometry, Champion Energy, First Energy Solutions, UGI Energy Services</w:t>
      </w:r>
    </w:p>
    <w:p w:rsidR="004A53FC" w:rsidRDefault="004A53FC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BD4C52">
        <w:rPr>
          <w:sz w:val="24"/>
          <w:szCs w:val="24"/>
        </w:rPr>
        <w:t>Jeff McCracken (PUC Staff)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265681" w:rsidRDefault="00BD4C52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WPWG</w:t>
      </w:r>
      <w:r w:rsidR="00B903E4">
        <w:rPr>
          <w:sz w:val="24"/>
          <w:szCs w:val="24"/>
        </w:rPr>
        <w:t xml:space="preserve"> extension request </w:t>
      </w:r>
    </w:p>
    <w:p w:rsidR="00BD4C52" w:rsidRDefault="00BD4C52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</w:t>
      </w:r>
      <w:r w:rsidR="00970476">
        <w:rPr>
          <w:sz w:val="24"/>
          <w:szCs w:val="24"/>
        </w:rPr>
        <w:t>Historical Usage (</w:t>
      </w:r>
      <w:r>
        <w:rPr>
          <w:sz w:val="24"/>
          <w:szCs w:val="24"/>
        </w:rPr>
        <w:t>WSDL</w:t>
      </w:r>
      <w:r w:rsidR="00970476">
        <w:rPr>
          <w:sz w:val="24"/>
          <w:szCs w:val="24"/>
        </w:rPr>
        <w:t>)</w:t>
      </w:r>
      <w:r>
        <w:rPr>
          <w:sz w:val="24"/>
          <w:szCs w:val="24"/>
        </w:rPr>
        <w:t xml:space="preserve"> Use Cases</w:t>
      </w:r>
    </w:p>
    <w:p w:rsidR="00BD4C52" w:rsidRPr="00792698" w:rsidRDefault="00BD4C52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Examples of </w:t>
      </w:r>
      <w:proofErr w:type="spellStart"/>
      <w:r w:rsidR="00970476">
        <w:rPr>
          <w:sz w:val="24"/>
          <w:szCs w:val="24"/>
        </w:rPr>
        <w:t>StS</w:t>
      </w:r>
      <w:proofErr w:type="spellEnd"/>
      <w:r w:rsidR="00970476">
        <w:rPr>
          <w:sz w:val="24"/>
          <w:szCs w:val="24"/>
        </w:rPr>
        <w:t xml:space="preserve"> Historical Usage</w:t>
      </w:r>
      <w:r>
        <w:rPr>
          <w:sz w:val="24"/>
          <w:szCs w:val="24"/>
        </w:rPr>
        <w:t xml:space="preserve"> &amp; </w:t>
      </w:r>
      <w:proofErr w:type="spellStart"/>
      <w:r w:rsidR="00970476">
        <w:rPr>
          <w:sz w:val="24"/>
          <w:szCs w:val="24"/>
        </w:rPr>
        <w:t>StS</w:t>
      </w:r>
      <w:proofErr w:type="spellEnd"/>
      <w:r w:rsidR="00970476">
        <w:rPr>
          <w:sz w:val="24"/>
          <w:szCs w:val="24"/>
        </w:rPr>
        <w:t xml:space="preserve"> </w:t>
      </w:r>
      <w:r>
        <w:rPr>
          <w:sz w:val="24"/>
          <w:szCs w:val="24"/>
        </w:rPr>
        <w:t>Rolling 10-day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03644B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CE69A1" w:rsidRPr="0003644B" w:rsidRDefault="0026733D" w:rsidP="00D74E7A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b w:val="0"/>
          <w:szCs w:val="24"/>
        </w:rPr>
      </w:pPr>
      <w:r w:rsidRPr="0003644B">
        <w:rPr>
          <w:b w:val="0"/>
          <w:szCs w:val="24"/>
        </w:rPr>
        <w:t>Roll Call</w:t>
      </w:r>
      <w:r w:rsidR="00B903E4" w:rsidRPr="0003644B">
        <w:rPr>
          <w:b w:val="0"/>
          <w:szCs w:val="24"/>
        </w:rPr>
        <w:t xml:space="preserve">:  </w:t>
      </w:r>
      <w:r w:rsidR="00BD4C52" w:rsidRPr="0003644B">
        <w:rPr>
          <w:b w:val="0"/>
          <w:szCs w:val="24"/>
        </w:rPr>
        <w:t>Brandon Siegel (Intelometry)</w:t>
      </w:r>
      <w:r w:rsidR="00792698" w:rsidRPr="0003644B">
        <w:rPr>
          <w:b w:val="0"/>
          <w:szCs w:val="24"/>
        </w:rPr>
        <w:t xml:space="preserve"> </w:t>
      </w:r>
      <w:r w:rsidR="00DB429E" w:rsidRPr="0003644B">
        <w:rPr>
          <w:b w:val="0"/>
          <w:szCs w:val="24"/>
        </w:rPr>
        <w:t>commenced roll</w:t>
      </w:r>
      <w:r w:rsidR="00C60386" w:rsidRPr="0003644B">
        <w:rPr>
          <w:b w:val="0"/>
          <w:szCs w:val="24"/>
        </w:rPr>
        <w:t xml:space="preserve"> call</w:t>
      </w:r>
      <w:r w:rsidR="00265681" w:rsidRPr="0003644B">
        <w:rPr>
          <w:b w:val="0"/>
          <w:szCs w:val="24"/>
        </w:rPr>
        <w:t xml:space="preserve">.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BD4C52" w:rsidRDefault="00BD4C52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Brandon Siegel </w:t>
      </w:r>
      <w:r w:rsidR="00B903E4">
        <w:rPr>
          <w:b w:val="0"/>
          <w:color w:val="000000"/>
          <w:szCs w:val="24"/>
        </w:rPr>
        <w:t>reported the EDEWG</w:t>
      </w:r>
      <w:r>
        <w:rPr>
          <w:b w:val="0"/>
          <w:color w:val="000000"/>
          <w:szCs w:val="24"/>
        </w:rPr>
        <w:t xml:space="preserve"> </w:t>
      </w:r>
      <w:r w:rsidR="00B903E4">
        <w:rPr>
          <w:b w:val="0"/>
          <w:color w:val="000000"/>
          <w:szCs w:val="24"/>
        </w:rPr>
        <w:t xml:space="preserve">Leadership’s extension request letter is complete pending approval by the final EDEWG leadership member.    The request is to extend the </w:t>
      </w:r>
      <w:r>
        <w:rPr>
          <w:b w:val="0"/>
          <w:color w:val="000000"/>
          <w:szCs w:val="24"/>
        </w:rPr>
        <w:t xml:space="preserve">deadline to file the Standards with the Commission </w:t>
      </w:r>
      <w:r w:rsidR="00B903E4">
        <w:rPr>
          <w:b w:val="0"/>
          <w:color w:val="000000"/>
          <w:szCs w:val="24"/>
        </w:rPr>
        <w:t>March 3</w:t>
      </w:r>
      <w:r w:rsidR="00B903E4" w:rsidRPr="00BD4C52">
        <w:rPr>
          <w:b w:val="0"/>
          <w:color w:val="000000"/>
          <w:szCs w:val="24"/>
          <w:vertAlign w:val="superscript"/>
        </w:rPr>
        <w:t>rd</w:t>
      </w:r>
      <w:r w:rsidR="00B903E4">
        <w:rPr>
          <w:b w:val="0"/>
          <w:color w:val="000000"/>
          <w:szCs w:val="24"/>
        </w:rPr>
        <w:t xml:space="preserve"> </w:t>
      </w:r>
      <w:r>
        <w:rPr>
          <w:b w:val="0"/>
          <w:color w:val="000000"/>
          <w:szCs w:val="24"/>
        </w:rPr>
        <w:t>to April 8</w:t>
      </w:r>
      <w:r w:rsidRPr="00BD4C52">
        <w:rPr>
          <w:b w:val="0"/>
          <w:color w:val="000000"/>
          <w:szCs w:val="24"/>
          <w:vertAlign w:val="superscript"/>
        </w:rPr>
        <w:t>th</w:t>
      </w:r>
      <w:r>
        <w:rPr>
          <w:b w:val="0"/>
          <w:color w:val="000000"/>
          <w:szCs w:val="24"/>
        </w:rPr>
        <w:t xml:space="preserve">, 2016.   Leadership </w:t>
      </w:r>
      <w:r w:rsidR="00B903E4">
        <w:rPr>
          <w:b w:val="0"/>
          <w:color w:val="000000"/>
          <w:szCs w:val="24"/>
        </w:rPr>
        <w:t xml:space="preserve">hopes to have the request filed </w:t>
      </w:r>
      <w:r>
        <w:rPr>
          <w:b w:val="0"/>
          <w:color w:val="000000"/>
          <w:szCs w:val="24"/>
        </w:rPr>
        <w:t>el</w:t>
      </w:r>
      <w:r w:rsidR="00EC492B">
        <w:rPr>
          <w:b w:val="0"/>
          <w:color w:val="000000"/>
          <w:szCs w:val="24"/>
        </w:rPr>
        <w:t>ectronic</w:t>
      </w:r>
      <w:r w:rsidR="00B903E4">
        <w:rPr>
          <w:b w:val="0"/>
          <w:color w:val="000000"/>
          <w:szCs w:val="24"/>
        </w:rPr>
        <w:t xml:space="preserve">ally with the PUC by the end of this </w:t>
      </w:r>
      <w:r w:rsidR="00EC492B">
        <w:rPr>
          <w:b w:val="0"/>
          <w:color w:val="000000"/>
          <w:szCs w:val="24"/>
        </w:rPr>
        <w:t>week.</w:t>
      </w:r>
    </w:p>
    <w:p w:rsidR="00EC492B" w:rsidRPr="00EC492B" w:rsidRDefault="00EC492B" w:rsidP="00EC492B"/>
    <w:p w:rsidR="00580FA4" w:rsidRDefault="00B903E4" w:rsidP="00B903E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John Troxell (FirstEnergy) and Ernie Mathie (FirstEnergy) provided an update to the billing adjustment item in the Use Cases spreadsheet discussed during our 2/9 meeting.  FirstEnergy reported the </w:t>
      </w:r>
      <w:r w:rsidRPr="00B903E4">
        <w:rPr>
          <w:b w:val="0"/>
          <w:color w:val="000000"/>
          <w:szCs w:val="24"/>
        </w:rPr>
        <w:t>portal information is derived from their Meter Data Management</w:t>
      </w:r>
      <w:r>
        <w:rPr>
          <w:b w:val="0"/>
          <w:color w:val="000000"/>
          <w:szCs w:val="24"/>
        </w:rPr>
        <w:t xml:space="preserve"> (MDM) </w:t>
      </w:r>
      <w:r w:rsidRPr="00B903E4">
        <w:rPr>
          <w:b w:val="0"/>
          <w:color w:val="000000"/>
          <w:szCs w:val="24"/>
        </w:rPr>
        <w:t>system.   The billing adjustments</w:t>
      </w:r>
      <w:r>
        <w:rPr>
          <w:b w:val="0"/>
          <w:color w:val="000000"/>
          <w:szCs w:val="24"/>
        </w:rPr>
        <w:t>,</w:t>
      </w:r>
      <w:r w:rsidRPr="00B903E4">
        <w:rPr>
          <w:b w:val="0"/>
          <w:color w:val="000000"/>
          <w:szCs w:val="24"/>
        </w:rPr>
        <w:t xml:space="preserve"> while applied to EDI</w:t>
      </w:r>
      <w:r>
        <w:rPr>
          <w:b w:val="0"/>
          <w:color w:val="000000"/>
          <w:szCs w:val="24"/>
        </w:rPr>
        <w:t>, would</w:t>
      </w:r>
      <w:r w:rsidRPr="00B903E4">
        <w:rPr>
          <w:b w:val="0"/>
          <w:color w:val="000000"/>
          <w:szCs w:val="24"/>
        </w:rPr>
        <w:t xml:space="preserve"> not be applied to the web portal data.    </w:t>
      </w:r>
      <w:r>
        <w:rPr>
          <w:b w:val="0"/>
          <w:color w:val="000000"/>
          <w:szCs w:val="24"/>
        </w:rPr>
        <w:t xml:space="preserve">This is due to the adjustments being made during the billing process which occurs after the data </w:t>
      </w:r>
      <w:proofErr w:type="gramStart"/>
      <w:r>
        <w:rPr>
          <w:b w:val="0"/>
          <w:color w:val="000000"/>
          <w:szCs w:val="24"/>
        </w:rPr>
        <w:t>is</w:t>
      </w:r>
      <w:proofErr w:type="gramEnd"/>
      <w:r>
        <w:rPr>
          <w:b w:val="0"/>
          <w:color w:val="000000"/>
          <w:szCs w:val="24"/>
        </w:rPr>
        <w:t xml:space="preserve"> obtained from the MDM system.   </w:t>
      </w:r>
      <w:r w:rsidR="0003644B">
        <w:rPr>
          <w:b w:val="0"/>
          <w:color w:val="000000"/>
          <w:szCs w:val="24"/>
        </w:rPr>
        <w:t xml:space="preserve">The billing adjustments, which are tariff based, include up to a +/- 2.5% adjustment to kWh.  </w:t>
      </w:r>
      <w:r w:rsidR="00EC492B">
        <w:rPr>
          <w:b w:val="0"/>
          <w:color w:val="000000"/>
          <w:szCs w:val="24"/>
        </w:rPr>
        <w:t>The</w:t>
      </w:r>
      <w:r w:rsidR="0003644B">
        <w:rPr>
          <w:b w:val="0"/>
          <w:color w:val="000000"/>
          <w:szCs w:val="24"/>
        </w:rPr>
        <w:t>re was little discussion and the</w:t>
      </w:r>
      <w:r w:rsidR="00EC492B">
        <w:rPr>
          <w:b w:val="0"/>
          <w:color w:val="000000"/>
          <w:szCs w:val="24"/>
        </w:rPr>
        <w:t xml:space="preserve"> group </w:t>
      </w:r>
      <w:r w:rsidR="0003644B">
        <w:rPr>
          <w:b w:val="0"/>
          <w:color w:val="000000"/>
          <w:szCs w:val="24"/>
        </w:rPr>
        <w:t xml:space="preserve">did not object to the portal data not including the adjustment.  </w:t>
      </w:r>
      <w:r w:rsidR="00F312D1">
        <w:rPr>
          <w:b w:val="0"/>
          <w:color w:val="000000"/>
          <w:szCs w:val="24"/>
        </w:rPr>
        <w:t xml:space="preserve">The updated version </w:t>
      </w:r>
      <w:r w:rsidR="0003644B">
        <w:rPr>
          <w:b w:val="0"/>
          <w:color w:val="000000"/>
          <w:szCs w:val="24"/>
        </w:rPr>
        <w:t xml:space="preserve">of the use case spreadsheet </w:t>
      </w:r>
      <w:r w:rsidR="00F312D1">
        <w:rPr>
          <w:b w:val="0"/>
          <w:color w:val="000000"/>
          <w:szCs w:val="24"/>
        </w:rPr>
        <w:t>will be sent with these meeting minutes.</w:t>
      </w:r>
    </w:p>
    <w:p w:rsidR="009A2353" w:rsidRDefault="009A2353" w:rsidP="009A2353"/>
    <w:p w:rsidR="0003644B" w:rsidRPr="0003644B" w:rsidRDefault="0003644B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lastRenderedPageBreak/>
        <w:t xml:space="preserve">The group discussed what examples at a minimum would apply to the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Historical Usage (WSDL) and possibly the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Rolling 10-day methods.</w:t>
      </w:r>
    </w:p>
    <w:p w:rsidR="0003644B" w:rsidRPr="0003644B" w:rsidRDefault="00F312D1" w:rsidP="0003644B">
      <w:pPr>
        <w:pStyle w:val="Heading2"/>
        <w:ind w:left="360"/>
        <w:rPr>
          <w:b w:val="0"/>
          <w:color w:val="000000"/>
          <w:szCs w:val="24"/>
        </w:rPr>
      </w:pPr>
      <w:r w:rsidRPr="0003644B">
        <w:rPr>
          <w:b w:val="0"/>
          <w:color w:val="000000"/>
          <w:szCs w:val="24"/>
        </w:rPr>
        <w:t xml:space="preserve">  </w:t>
      </w:r>
    </w:p>
    <w:p w:rsidR="0003644B" w:rsidRPr="0003644B" w:rsidRDefault="0003644B" w:rsidP="0003644B">
      <w:pPr>
        <w:pStyle w:val="Heading2"/>
        <w:ind w:left="360"/>
        <w:rPr>
          <w:b w:val="0"/>
          <w:color w:val="000000"/>
          <w:szCs w:val="24"/>
        </w:rPr>
      </w:pPr>
      <w:proofErr w:type="spellStart"/>
      <w:r w:rsidRPr="0003644B">
        <w:rPr>
          <w:b w:val="0"/>
          <w:color w:val="000000"/>
          <w:szCs w:val="24"/>
        </w:rPr>
        <w:t>StS</w:t>
      </w:r>
      <w:proofErr w:type="spellEnd"/>
      <w:r w:rsidRPr="0003644B">
        <w:rPr>
          <w:b w:val="0"/>
          <w:color w:val="000000"/>
          <w:szCs w:val="24"/>
        </w:rPr>
        <w:t xml:space="preserve"> Historical Usage (WSDL)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35"/>
        <w:gridCol w:w="1710"/>
        <w:gridCol w:w="1620"/>
      </w:tblGrid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Use Case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Account Level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Meter Level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Standard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Increment Interval Change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Daylight Savings Time (Spring &amp; Fall)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Meter Exchange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N/A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03644B">
        <w:tc>
          <w:tcPr>
            <w:tcW w:w="4135" w:type="dxa"/>
          </w:tcPr>
          <w:p w:rsidR="0003644B" w:rsidRPr="0003644B" w:rsidRDefault="0003644B" w:rsidP="0003644B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Net Metering</w:t>
            </w:r>
          </w:p>
        </w:tc>
        <w:tc>
          <w:tcPr>
            <w:tcW w:w="171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  <w:tc>
          <w:tcPr>
            <w:tcW w:w="1620" w:type="dxa"/>
          </w:tcPr>
          <w:p w:rsidR="0003644B" w:rsidRPr="0003644B" w:rsidRDefault="0003644B" w:rsidP="0003644B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No</w:t>
            </w:r>
          </w:p>
        </w:tc>
      </w:tr>
    </w:tbl>
    <w:p w:rsidR="0003644B" w:rsidRPr="0003644B" w:rsidRDefault="0003644B" w:rsidP="0003644B">
      <w:pPr>
        <w:pStyle w:val="Heading2"/>
        <w:ind w:left="360"/>
        <w:rPr>
          <w:b w:val="0"/>
          <w:color w:val="000000"/>
          <w:szCs w:val="24"/>
        </w:rPr>
      </w:pPr>
    </w:p>
    <w:p w:rsidR="0003644B" w:rsidRPr="0003644B" w:rsidRDefault="0003644B" w:rsidP="0003644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Pr="0003644B">
        <w:rPr>
          <w:sz w:val="24"/>
          <w:szCs w:val="24"/>
        </w:rPr>
        <w:t>StS</w:t>
      </w:r>
      <w:proofErr w:type="spellEnd"/>
      <w:r w:rsidRPr="0003644B">
        <w:rPr>
          <w:sz w:val="24"/>
          <w:szCs w:val="24"/>
        </w:rPr>
        <w:t xml:space="preserve"> Rolling 10-day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35"/>
        <w:gridCol w:w="1620"/>
      </w:tblGrid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Use Case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Meter Level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Standard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Increment Interval Change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Daylight Savings Time (Spring &amp; Fall)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Meter Exchange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Yes</w:t>
            </w:r>
          </w:p>
        </w:tc>
      </w:tr>
      <w:tr w:rsidR="0003644B" w:rsidRPr="0003644B" w:rsidTr="00B01147">
        <w:tc>
          <w:tcPr>
            <w:tcW w:w="4135" w:type="dxa"/>
          </w:tcPr>
          <w:p w:rsidR="0003644B" w:rsidRPr="0003644B" w:rsidRDefault="0003644B" w:rsidP="00B01147">
            <w:pPr>
              <w:pStyle w:val="Heading2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Net Metering</w:t>
            </w:r>
          </w:p>
        </w:tc>
        <w:tc>
          <w:tcPr>
            <w:tcW w:w="1620" w:type="dxa"/>
          </w:tcPr>
          <w:p w:rsidR="0003644B" w:rsidRPr="0003644B" w:rsidRDefault="0003644B" w:rsidP="00B01147">
            <w:pPr>
              <w:pStyle w:val="Heading2"/>
              <w:jc w:val="center"/>
              <w:rPr>
                <w:b w:val="0"/>
                <w:color w:val="000000"/>
                <w:szCs w:val="24"/>
              </w:rPr>
            </w:pPr>
            <w:r w:rsidRPr="0003644B">
              <w:rPr>
                <w:b w:val="0"/>
                <w:color w:val="000000"/>
                <w:szCs w:val="24"/>
              </w:rPr>
              <w:t>No</w:t>
            </w:r>
          </w:p>
        </w:tc>
      </w:tr>
    </w:tbl>
    <w:p w:rsidR="0003644B" w:rsidRPr="0003644B" w:rsidRDefault="0003644B" w:rsidP="0003644B">
      <w:pPr>
        <w:pStyle w:val="Heading2"/>
        <w:ind w:left="360"/>
        <w:rPr>
          <w:b w:val="0"/>
          <w:color w:val="000000"/>
          <w:szCs w:val="24"/>
        </w:rPr>
      </w:pPr>
    </w:p>
    <w:p w:rsidR="00970476" w:rsidRPr="0003644B" w:rsidRDefault="00F312D1" w:rsidP="0003644B">
      <w:pPr>
        <w:pStyle w:val="Heading2"/>
        <w:ind w:left="360"/>
        <w:rPr>
          <w:b w:val="0"/>
          <w:color w:val="000000"/>
          <w:szCs w:val="24"/>
        </w:rPr>
      </w:pPr>
      <w:r w:rsidRPr="0003644B">
        <w:rPr>
          <w:b w:val="0"/>
          <w:color w:val="000000"/>
          <w:szCs w:val="24"/>
        </w:rPr>
        <w:t xml:space="preserve">A review of examples distributed to date will </w:t>
      </w:r>
      <w:r w:rsidR="00970476" w:rsidRPr="0003644B">
        <w:rPr>
          <w:b w:val="0"/>
          <w:color w:val="000000"/>
          <w:szCs w:val="24"/>
        </w:rPr>
        <w:t>be done and documented so we know which examples remain.</w:t>
      </w:r>
    </w:p>
    <w:p w:rsidR="00F312D1" w:rsidRDefault="00F312D1" w:rsidP="00970476">
      <w:pPr>
        <w:pStyle w:val="Heading2"/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 </w:t>
      </w:r>
    </w:p>
    <w:p w:rsidR="0026733D" w:rsidRPr="00F312D1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312D1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970476">
        <w:rPr>
          <w:sz w:val="24"/>
          <w:szCs w:val="24"/>
        </w:rPr>
        <w:t xml:space="preserve">February </w:t>
      </w:r>
      <w:r w:rsidR="0003644B">
        <w:rPr>
          <w:sz w:val="24"/>
          <w:szCs w:val="24"/>
        </w:rPr>
        <w:t>23</w:t>
      </w:r>
      <w:r w:rsidR="000D2F9D">
        <w:rPr>
          <w:sz w:val="24"/>
          <w:szCs w:val="24"/>
        </w:rPr>
        <w:t>, 2016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32D" w:rsidRDefault="00CD232D">
      <w:r>
        <w:separator/>
      </w:r>
    </w:p>
  </w:endnote>
  <w:endnote w:type="continuationSeparator" w:id="0">
    <w:p w:rsidR="00CD232D" w:rsidRDefault="00CD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EC0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32D" w:rsidRDefault="00CD232D">
      <w:r>
        <w:separator/>
      </w:r>
    </w:p>
  </w:footnote>
  <w:footnote w:type="continuationSeparator" w:id="0">
    <w:p w:rsidR="00CD232D" w:rsidRDefault="00CD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 w15:restartNumberingAfterBreak="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131AE"/>
    <w:multiLevelType w:val="hybridMultilevel"/>
    <w:tmpl w:val="6C3A6268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 w15:restartNumberingAfterBreak="0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3644B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4447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0648D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356B7"/>
    <w:rsid w:val="00143418"/>
    <w:rsid w:val="00144754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12A"/>
    <w:rsid w:val="00406CEC"/>
    <w:rsid w:val="004103EF"/>
    <w:rsid w:val="00415A92"/>
    <w:rsid w:val="00415E54"/>
    <w:rsid w:val="00416247"/>
    <w:rsid w:val="004162FB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2C1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C0"/>
    <w:rsid w:val="004E3EE7"/>
    <w:rsid w:val="004E4D4F"/>
    <w:rsid w:val="004E54C3"/>
    <w:rsid w:val="004E54FD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06F7"/>
    <w:rsid w:val="00531557"/>
    <w:rsid w:val="00531D0B"/>
    <w:rsid w:val="005334C0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2BF2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3110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5B12"/>
    <w:rsid w:val="00726C27"/>
    <w:rsid w:val="00727CCC"/>
    <w:rsid w:val="0073004F"/>
    <w:rsid w:val="00732902"/>
    <w:rsid w:val="007355BB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B581F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4E77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90E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09F3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76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353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1A19"/>
    <w:rsid w:val="00B75E04"/>
    <w:rsid w:val="00B772F8"/>
    <w:rsid w:val="00B824D7"/>
    <w:rsid w:val="00B842D2"/>
    <w:rsid w:val="00B84552"/>
    <w:rsid w:val="00B85FC0"/>
    <w:rsid w:val="00B87705"/>
    <w:rsid w:val="00B903E4"/>
    <w:rsid w:val="00B93FF3"/>
    <w:rsid w:val="00B96135"/>
    <w:rsid w:val="00B97CA2"/>
    <w:rsid w:val="00BA33BA"/>
    <w:rsid w:val="00BA3922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B79E6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4C52"/>
    <w:rsid w:val="00BD6F05"/>
    <w:rsid w:val="00BD7EA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A84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5BE8"/>
    <w:rsid w:val="00CB7E48"/>
    <w:rsid w:val="00CC0327"/>
    <w:rsid w:val="00CC1DD9"/>
    <w:rsid w:val="00CC28DA"/>
    <w:rsid w:val="00CC337C"/>
    <w:rsid w:val="00CC4A99"/>
    <w:rsid w:val="00CC5D6A"/>
    <w:rsid w:val="00CC753D"/>
    <w:rsid w:val="00CD232D"/>
    <w:rsid w:val="00CD33B5"/>
    <w:rsid w:val="00CD42BB"/>
    <w:rsid w:val="00CD4663"/>
    <w:rsid w:val="00CD4C8B"/>
    <w:rsid w:val="00CD5AB9"/>
    <w:rsid w:val="00CD5E70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4F2C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564A"/>
    <w:rsid w:val="00DC6BD0"/>
    <w:rsid w:val="00DD17E8"/>
    <w:rsid w:val="00DD2044"/>
    <w:rsid w:val="00DD211E"/>
    <w:rsid w:val="00DD2438"/>
    <w:rsid w:val="00DD6756"/>
    <w:rsid w:val="00DD6791"/>
    <w:rsid w:val="00DE0E60"/>
    <w:rsid w:val="00DE304A"/>
    <w:rsid w:val="00DE3C5F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492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1A0"/>
    <w:rsid w:val="00F16A3E"/>
    <w:rsid w:val="00F21447"/>
    <w:rsid w:val="00F2350D"/>
    <w:rsid w:val="00F256E7"/>
    <w:rsid w:val="00F31298"/>
    <w:rsid w:val="00F312D1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6F93122-E644-4DF9-B081-E4ED4860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4748-8438-4F80-89AE-847A8C19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2475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Brandon Siegel</cp:lastModifiedBy>
  <cp:revision>3</cp:revision>
  <cp:lastPrinted>2016-01-12T14:25:00Z</cp:lastPrinted>
  <dcterms:created xsi:type="dcterms:W3CDTF">2016-02-16T21:22:00Z</dcterms:created>
  <dcterms:modified xsi:type="dcterms:W3CDTF">2016-02-18T23:07:00Z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