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B4" w:rsidRDefault="00C03BB4">
      <w:pPr>
        <w:pStyle w:val="Title"/>
        <w:rPr>
          <w:sz w:val="28"/>
        </w:rPr>
      </w:pPr>
      <w:r>
        <w:rPr>
          <w:sz w:val="28"/>
        </w:rPr>
        <w:t xml:space="preserve">EDEWG Change Request </w:t>
      </w:r>
      <w:r w:rsidR="00C54405">
        <w:rPr>
          <w:sz w:val="28"/>
        </w:rPr>
        <w:t>SU-MR #001</w:t>
      </w:r>
    </w:p>
    <w:p w:rsidR="00C03BB4" w:rsidRDefault="00C03B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</w:p>
    <w:p w:rsidR="009A4E4C" w:rsidRDefault="00C03B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sz w:val="20"/>
        </w:rPr>
      </w:pPr>
      <w:r>
        <w:rPr>
          <w:sz w:val="20"/>
        </w:rPr>
        <w:t xml:space="preserve">This EDEWG Change Request can be found on the PUC website at </w:t>
      </w:r>
      <w:hyperlink r:id="rId8" w:history="1">
        <w:r w:rsidR="009A4E4C" w:rsidRPr="00B23298">
          <w:rPr>
            <w:rStyle w:val="Hyperlink"/>
            <w:sz w:val="20"/>
          </w:rPr>
          <w:t>http://www.puc.pa.gov/electric/electric_edewg_download.aspx</w:t>
        </w:r>
      </w:hyperlink>
      <w:r>
        <w:rPr>
          <w:sz w:val="20"/>
        </w:rPr>
        <w:t xml:space="preserve"> </w:t>
      </w:r>
      <w:bookmarkStart w:id="0" w:name="_GoBack"/>
      <w:bookmarkEnd w:id="0"/>
    </w:p>
    <w:p w:rsidR="00C03BB4" w:rsidRDefault="00C03BB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C03BB4"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>Requester’s Name</w:t>
            </w:r>
            <w:r>
              <w:rPr>
                <w:sz w:val="20"/>
              </w:rPr>
              <w:t xml:space="preserve">: </w:t>
            </w:r>
          </w:p>
          <w:p w:rsidR="00C03BB4" w:rsidRDefault="005F08DA">
            <w:pPr>
              <w:rPr>
                <w:sz w:val="20"/>
              </w:rPr>
            </w:pPr>
            <w:r>
              <w:rPr>
                <w:sz w:val="20"/>
              </w:rPr>
              <w:t>Joe Bisti</w:t>
            </w:r>
          </w:p>
        </w:tc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>EDC/EGS Name</w:t>
            </w:r>
            <w:r>
              <w:rPr>
                <w:sz w:val="20"/>
              </w:rPr>
              <w:t xml:space="preserve">:    </w:t>
            </w:r>
          </w:p>
          <w:p w:rsidR="00C03BB4" w:rsidRDefault="005F08DA">
            <w:pPr>
              <w:rPr>
                <w:sz w:val="20"/>
              </w:rPr>
            </w:pPr>
            <w:r>
              <w:rPr>
                <w:sz w:val="20"/>
              </w:rPr>
              <w:t>PECO</w:t>
            </w:r>
          </w:p>
        </w:tc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Phone # </w:t>
            </w:r>
            <w:r>
              <w:rPr>
                <w:sz w:val="20"/>
              </w:rPr>
              <w:t xml:space="preserve">:  </w:t>
            </w:r>
          </w:p>
          <w:p w:rsidR="00C03BB4" w:rsidRDefault="005F08DA">
            <w:pPr>
              <w:rPr>
                <w:sz w:val="20"/>
              </w:rPr>
            </w:pPr>
            <w:r>
              <w:rPr>
                <w:sz w:val="20"/>
              </w:rPr>
              <w:t>215-841-5626</w:t>
            </w:r>
          </w:p>
        </w:tc>
      </w:tr>
      <w:tr w:rsidR="00C03BB4"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>Date of Request</w:t>
            </w:r>
            <w:r>
              <w:rPr>
                <w:sz w:val="20"/>
              </w:rPr>
              <w:t>:</w:t>
            </w:r>
          </w:p>
          <w:p w:rsidR="00C03BB4" w:rsidRDefault="00A07D3C" w:rsidP="00A07D3C">
            <w:pPr>
              <w:rPr>
                <w:sz w:val="20"/>
              </w:rPr>
            </w:pPr>
            <w:r>
              <w:rPr>
                <w:sz w:val="20"/>
              </w:rPr>
              <w:t>11/11/2015</w:t>
            </w:r>
          </w:p>
        </w:tc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>Affected EDI Transaction Set #(s)</w:t>
            </w:r>
            <w:r>
              <w:rPr>
                <w:sz w:val="20"/>
              </w:rPr>
              <w:t>:</w:t>
            </w:r>
          </w:p>
          <w:p w:rsidR="00C03BB4" w:rsidRDefault="00A07D3C" w:rsidP="00A07D3C">
            <w:pPr>
              <w:rPr>
                <w:sz w:val="20"/>
              </w:rPr>
            </w:pPr>
            <w:r>
              <w:rPr>
                <w:sz w:val="20"/>
              </w:rPr>
              <w:t xml:space="preserve">N/A – </w:t>
            </w:r>
            <w:r w:rsidRPr="00A07D3C">
              <w:rPr>
                <w:i/>
                <w:sz w:val="20"/>
              </w:rPr>
              <w:t>AMI SU-MR Portal Standard</w:t>
            </w:r>
          </w:p>
        </w:tc>
        <w:tc>
          <w:tcPr>
            <w:tcW w:w="3672" w:type="dxa"/>
            <w:tcBorders>
              <w:bottom w:val="nil"/>
            </w:tcBorders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>E-Mail Address</w:t>
            </w:r>
            <w:r>
              <w:rPr>
                <w:sz w:val="20"/>
              </w:rPr>
              <w:t>:</w:t>
            </w:r>
          </w:p>
          <w:p w:rsidR="00C03BB4" w:rsidRDefault="009A4E4C" w:rsidP="005F08DA">
            <w:pPr>
              <w:rPr>
                <w:sz w:val="20"/>
              </w:rPr>
            </w:pPr>
            <w:hyperlink r:id="rId9" w:history="1">
              <w:r w:rsidR="005F08DA" w:rsidRPr="00E9076C">
                <w:rPr>
                  <w:rStyle w:val="Hyperlink"/>
                  <w:sz w:val="20"/>
                </w:rPr>
                <w:t>joseph.bisti@peco-energy.com</w:t>
              </w:r>
            </w:hyperlink>
            <w:r w:rsidR="005F08DA">
              <w:rPr>
                <w:sz w:val="20"/>
              </w:rPr>
              <w:t xml:space="preserve"> </w:t>
            </w:r>
          </w:p>
        </w:tc>
      </w:tr>
      <w:tr w:rsidR="00C03BB4" w:rsidTr="00CF53C6">
        <w:trPr>
          <w:trHeight w:val="498"/>
        </w:trPr>
        <w:tc>
          <w:tcPr>
            <w:tcW w:w="3672" w:type="dxa"/>
          </w:tcPr>
          <w:p w:rsidR="00C03BB4" w:rsidRDefault="00C03BB4" w:rsidP="000C08B0">
            <w:pPr>
              <w:rPr>
                <w:sz w:val="20"/>
              </w:rPr>
            </w:pPr>
            <w:r>
              <w:rPr>
                <w:b/>
                <w:sz w:val="20"/>
              </w:rPr>
              <w:t>Requested Priority</w:t>
            </w:r>
            <w:r>
              <w:rPr>
                <w:sz w:val="20"/>
              </w:rPr>
              <w:t xml:space="preserve"> (emergency/high/low):</w:t>
            </w:r>
            <w:r w:rsidR="002B5235">
              <w:rPr>
                <w:sz w:val="20"/>
              </w:rPr>
              <w:t xml:space="preserve"> </w:t>
            </w:r>
            <w:r w:rsidR="000C08B0">
              <w:rPr>
                <w:sz w:val="20"/>
              </w:rPr>
              <w:t>Low</w:t>
            </w:r>
          </w:p>
        </w:tc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>Requested Implementation Date</w:t>
            </w:r>
            <w:r>
              <w:rPr>
                <w:sz w:val="20"/>
              </w:rPr>
              <w:t>:</w:t>
            </w:r>
          </w:p>
          <w:p w:rsidR="00C03BB4" w:rsidRDefault="005F08DA">
            <w:pPr>
              <w:rPr>
                <w:sz w:val="20"/>
              </w:rPr>
            </w:pPr>
            <w:r>
              <w:rPr>
                <w:sz w:val="20"/>
              </w:rPr>
              <w:t>ASAP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</w:tcPr>
          <w:p w:rsidR="00C03BB4" w:rsidRDefault="00C03BB4">
            <w:pPr>
              <w:rPr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</w:p>
          <w:p w:rsidR="00C03BB4" w:rsidRPr="001D75F4" w:rsidRDefault="001D75F4" w:rsidP="001D75F4">
            <w:pPr>
              <w:rPr>
                <w:sz w:val="16"/>
                <w:szCs w:val="16"/>
              </w:rPr>
            </w:pPr>
            <w:r w:rsidRPr="001D75F4">
              <w:rPr>
                <w:sz w:val="16"/>
                <w:szCs w:val="16"/>
              </w:rPr>
              <w:t>Approved / Pending</w:t>
            </w:r>
            <w:r w:rsidR="002F2D54">
              <w:rPr>
                <w:sz w:val="16"/>
                <w:szCs w:val="16"/>
              </w:rPr>
              <w:t xml:space="preserve"> update to documentation</w:t>
            </w:r>
          </w:p>
        </w:tc>
      </w:tr>
    </w:tbl>
    <w:p w:rsidR="00C03BB4" w:rsidRDefault="00C03BB4"/>
    <w:p w:rsidR="00C03BB4" w:rsidRDefault="00C03BB4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</w:pPr>
      <w:r>
        <w:rPr>
          <w:b/>
          <w:sz w:val="22"/>
        </w:rPr>
        <w:t xml:space="preserve">Brief Explanation </w:t>
      </w:r>
      <w:r>
        <w:rPr>
          <w:sz w:val="18"/>
        </w:rPr>
        <w:t xml:space="preserve">(This will be copied into the description in the Change Control Summary Spreadsheet): </w:t>
      </w:r>
    </w:p>
    <w:p w:rsidR="00A07D3C" w:rsidRDefault="00344A16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Theme="minorHAnsi" w:hAnsiTheme="minorHAnsi" w:cstheme="minorHAnsi"/>
          <w:sz w:val="20"/>
        </w:rPr>
      </w:pPr>
      <w:r w:rsidRPr="00344A16">
        <w:rPr>
          <w:rFonts w:asciiTheme="minorHAnsi" w:hAnsiTheme="minorHAnsi" w:cstheme="minorHAnsi"/>
          <w:sz w:val="20"/>
        </w:rPr>
        <w:t xml:space="preserve">PECO requests that EDEWG </w:t>
      </w:r>
      <w:r>
        <w:rPr>
          <w:rFonts w:asciiTheme="minorHAnsi" w:hAnsiTheme="minorHAnsi" w:cstheme="minorHAnsi"/>
          <w:sz w:val="20"/>
        </w:rPr>
        <w:t>consider and implement a change to the SU-MR Solution Framework standard which incorporates</w:t>
      </w:r>
      <w:r w:rsidRPr="00344A16">
        <w:rPr>
          <w:rFonts w:asciiTheme="minorHAnsi" w:hAnsiTheme="minorHAnsi" w:cstheme="minorHAnsi"/>
          <w:sz w:val="20"/>
        </w:rPr>
        <w:t xml:space="preserve"> interval increment length into the existing SU-MR account-level and meter-level </w:t>
      </w:r>
      <w:r w:rsidR="00005A2A" w:rsidRPr="00344A16">
        <w:rPr>
          <w:rFonts w:asciiTheme="minorHAnsi" w:hAnsiTheme="minorHAnsi" w:cstheme="minorHAnsi"/>
          <w:sz w:val="20"/>
        </w:rPr>
        <w:t xml:space="preserve">downloadable </w:t>
      </w:r>
      <w:r w:rsidRPr="00344A16">
        <w:rPr>
          <w:rFonts w:asciiTheme="minorHAnsi" w:hAnsiTheme="minorHAnsi" w:cstheme="minorHAnsi"/>
          <w:sz w:val="20"/>
        </w:rPr>
        <w:t xml:space="preserve">file formats.  </w:t>
      </w:r>
      <w:r w:rsidR="00B03478">
        <w:rPr>
          <w:rFonts w:asciiTheme="minorHAnsi" w:hAnsiTheme="minorHAnsi" w:cstheme="minorHAnsi"/>
          <w:sz w:val="20"/>
        </w:rPr>
        <w:t>This would also require adding “interval increment” data to the list of detailed usage items published within points 2.3.12 and 2.3.13 in the SU-MR portion of the Framework document.</w:t>
      </w:r>
    </w:p>
    <w:p w:rsidR="00005A2A" w:rsidRDefault="00005A2A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Theme="minorHAnsi" w:hAnsiTheme="minorHAnsi" w:cstheme="minorHAnsi"/>
          <w:sz w:val="20"/>
        </w:rPr>
      </w:pPr>
    </w:p>
    <w:p w:rsidR="00005A2A" w:rsidRPr="00344A16" w:rsidRDefault="00005A2A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Given that the SU-MR standard is now PUC-approved, PECO believes this </w:t>
      </w:r>
      <w:r w:rsidR="00B03478">
        <w:rPr>
          <w:rFonts w:asciiTheme="minorHAnsi" w:hAnsiTheme="minorHAnsi" w:cstheme="minorHAnsi"/>
          <w:sz w:val="20"/>
        </w:rPr>
        <w:t xml:space="preserve">should be the first SU-MR change control to be addressed via the </w:t>
      </w:r>
      <w:r>
        <w:rPr>
          <w:rFonts w:asciiTheme="minorHAnsi" w:hAnsiTheme="minorHAnsi" w:cstheme="minorHAnsi"/>
          <w:sz w:val="20"/>
        </w:rPr>
        <w:t xml:space="preserve">normal EDEWG </w:t>
      </w:r>
      <w:r w:rsidR="00B03478">
        <w:rPr>
          <w:rFonts w:asciiTheme="minorHAnsi" w:hAnsiTheme="minorHAnsi" w:cstheme="minorHAnsi"/>
          <w:sz w:val="20"/>
        </w:rPr>
        <w:t>process</w:t>
      </w:r>
      <w:r>
        <w:rPr>
          <w:rFonts w:asciiTheme="minorHAnsi" w:hAnsiTheme="minorHAnsi" w:cstheme="minorHAnsi"/>
          <w:sz w:val="20"/>
        </w:rPr>
        <w:t xml:space="preserve">, as opposed to the Web Portal Working Group discussions which require </w:t>
      </w:r>
      <w:r w:rsidR="00B03478">
        <w:rPr>
          <w:rFonts w:asciiTheme="minorHAnsi" w:hAnsiTheme="minorHAnsi" w:cstheme="minorHAnsi"/>
          <w:sz w:val="20"/>
        </w:rPr>
        <w:t>that focus remain</w:t>
      </w:r>
      <w:r>
        <w:rPr>
          <w:rFonts w:asciiTheme="minorHAnsi" w:hAnsiTheme="minorHAnsi" w:cstheme="minorHAnsi"/>
          <w:sz w:val="20"/>
        </w:rPr>
        <w:t xml:space="preserve"> on the system-to-system proposals.</w:t>
      </w:r>
    </w:p>
    <w:p w:rsidR="00A07D3C" w:rsidRDefault="00A07D3C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sz w:val="18"/>
        </w:rPr>
      </w:pPr>
    </w:p>
    <w:p w:rsidR="00C03BB4" w:rsidRDefault="00C03BB4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</w:pPr>
      <w:r>
        <w:rPr>
          <w:b/>
          <w:sz w:val="22"/>
        </w:rPr>
        <w:t xml:space="preserve">Detail </w:t>
      </w:r>
      <w:proofErr w:type="gramStart"/>
      <w:r>
        <w:rPr>
          <w:b/>
          <w:sz w:val="22"/>
        </w:rPr>
        <w:t>Explanation</w:t>
      </w:r>
      <w: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 xml:space="preserve">Exactly what change is required? </w:t>
      </w:r>
      <w:proofErr w:type="gramStart"/>
      <w:r>
        <w:rPr>
          <w:sz w:val="18"/>
        </w:rPr>
        <w:t>To which EDEWG Standards?</w:t>
      </w:r>
      <w:proofErr w:type="gramEnd"/>
      <w:r>
        <w:rPr>
          <w:sz w:val="18"/>
        </w:rPr>
        <w:t xml:space="preserve"> Why?):</w:t>
      </w:r>
      <w:r>
        <w:t xml:space="preserve"> </w:t>
      </w:r>
    </w:p>
    <w:p w:rsidR="00A07D3C" w:rsidRDefault="00A07D3C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PECO is analyzing the effort required to implement the SU-MR web portal for sharing of usage data, in alignment with the approved SU-MR standards in the Solution Framework.  The detail to be made available in the downloadable SU-MR file formats currently includes detailed interval usage with headers that simply identify the increments in sequence as shown below</w:t>
      </w:r>
      <w:r w:rsidR="00344A16">
        <w:rPr>
          <w:rFonts w:ascii="Calibri" w:hAnsi="Calibri"/>
          <w:sz w:val="20"/>
        </w:rPr>
        <w:t xml:space="preserve"> (NOTE: Image copied directly from the Solution Framework document)</w:t>
      </w:r>
      <w:r>
        <w:rPr>
          <w:rFonts w:ascii="Calibri" w:hAnsi="Calibri"/>
          <w:sz w:val="20"/>
        </w:rPr>
        <w:t>.</w:t>
      </w:r>
    </w:p>
    <w:p w:rsidR="00A07D3C" w:rsidRDefault="00A07D3C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Calibri" w:hAnsi="Calibri"/>
          <w:sz w:val="20"/>
        </w:rPr>
      </w:pPr>
    </w:p>
    <w:p w:rsidR="00A07D3C" w:rsidRDefault="00344A16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center"/>
        <w:rPr>
          <w:rFonts w:ascii="Calibri" w:hAnsi="Calibri"/>
          <w:sz w:val="20"/>
        </w:rPr>
      </w:pPr>
      <w:r>
        <w:rPr>
          <w:noProof/>
        </w:rPr>
        <w:drawing>
          <wp:inline distT="0" distB="0" distL="0" distR="0" wp14:anchorId="5D80B0D3" wp14:editId="2D0C6F03">
            <wp:extent cx="5943600" cy="1721485"/>
            <wp:effectExtent l="19050" t="19050" r="1905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14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7D3C" w:rsidRDefault="00A07D3C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Calibri" w:hAnsi="Calibri"/>
          <w:sz w:val="20"/>
        </w:rPr>
      </w:pPr>
    </w:p>
    <w:p w:rsidR="00A07D3C" w:rsidRDefault="00A07D3C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During PECO’s analysis, a question arose for a use case in which the interval increment provided within a given time period changes.  This </w:t>
      </w:r>
      <w:r w:rsidR="00344A16">
        <w:rPr>
          <w:rFonts w:ascii="Calibri" w:hAnsi="Calibri"/>
          <w:sz w:val="20"/>
        </w:rPr>
        <w:t>led to the discovery that neither the account-level nor meter-level downloadable file formats</w:t>
      </w:r>
      <w:r>
        <w:rPr>
          <w:rFonts w:ascii="Calibri" w:hAnsi="Calibri"/>
          <w:sz w:val="20"/>
        </w:rPr>
        <w:t xml:space="preserve"> in the SU-MR standard currently provide </w:t>
      </w:r>
      <w:r w:rsidR="00344A16">
        <w:rPr>
          <w:rFonts w:ascii="Calibri" w:hAnsi="Calibri"/>
          <w:sz w:val="20"/>
        </w:rPr>
        <w:t>interval increment data</w:t>
      </w:r>
      <w:r>
        <w:rPr>
          <w:rFonts w:ascii="Calibri" w:hAnsi="Calibri"/>
          <w:sz w:val="20"/>
        </w:rPr>
        <w:t>.  The QTY field currently shown in the Framework example only shows the quantity qualifier (QD, KA, etc.) and not currently the increment of that interval.</w:t>
      </w:r>
    </w:p>
    <w:p w:rsidR="00A07D3C" w:rsidRDefault="00A07D3C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Calibri" w:hAnsi="Calibri"/>
          <w:sz w:val="20"/>
        </w:rPr>
      </w:pPr>
    </w:p>
    <w:p w:rsidR="00344A16" w:rsidRDefault="002F2D54" w:rsidP="002F2D54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EDEWG discussed on 12/3/2015 and agreed the change is</w:t>
      </w:r>
      <w:r w:rsidR="00344A16">
        <w:rPr>
          <w:rFonts w:ascii="Calibri" w:hAnsi="Calibri"/>
          <w:sz w:val="20"/>
        </w:rPr>
        <w:t xml:space="preserve"> to replace the sequential column headers (1, 2, 3) with the actual interval ending-time, as is currently being considered for the S2S Active EGS Rolling 10-Day as shown below (NOTE: image copied directly from the Solution Framework document).  While this would create added consistency between the formats, it </w:t>
      </w:r>
      <w:r>
        <w:rPr>
          <w:rFonts w:ascii="Calibri" w:hAnsi="Calibri"/>
          <w:sz w:val="20"/>
        </w:rPr>
        <w:t>will require</w:t>
      </w:r>
      <w:r w:rsidR="00344A16">
        <w:rPr>
          <w:rFonts w:ascii="Calibri" w:hAnsi="Calibri"/>
          <w:sz w:val="20"/>
        </w:rPr>
        <w:t xml:space="preserve"> multiple SU-MR files </w:t>
      </w:r>
      <w:r>
        <w:rPr>
          <w:rFonts w:ascii="Calibri" w:hAnsi="Calibri"/>
          <w:sz w:val="20"/>
        </w:rPr>
        <w:t>be</w:t>
      </w:r>
      <w:r w:rsidR="00344A16">
        <w:rPr>
          <w:rFonts w:ascii="Calibri" w:hAnsi="Calibri"/>
          <w:sz w:val="20"/>
        </w:rPr>
        <w:t xml:space="preserve"> generated for the same account or meter – to prevent potential gaps in the data </w:t>
      </w:r>
      <w:r w:rsidR="00005A2A">
        <w:rPr>
          <w:rFonts w:ascii="Calibri" w:hAnsi="Calibri"/>
          <w:sz w:val="20"/>
        </w:rPr>
        <w:t>if/when the increment changes – or whether the gaps would be permissible.</w:t>
      </w:r>
      <w:r w:rsidR="00344A16">
        <w:rPr>
          <w:rFonts w:ascii="Calibri" w:hAnsi="Calibri"/>
          <w:sz w:val="20"/>
        </w:rPr>
        <w:br/>
      </w:r>
    </w:p>
    <w:p w:rsidR="00344A16" w:rsidRDefault="00344A1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sz w:val="20"/>
        </w:rPr>
      </w:pPr>
      <w:r>
        <w:rPr>
          <w:noProof/>
        </w:rPr>
        <w:lastRenderedPageBreak/>
        <w:drawing>
          <wp:inline distT="0" distB="0" distL="0" distR="0" wp14:anchorId="531585EB" wp14:editId="7BBF5F82">
            <wp:extent cx="5293360" cy="1101725"/>
            <wp:effectExtent l="19050" t="19050" r="21590" b="22225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1017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3BB4" w:rsidRPr="007E33C2" w:rsidRDefault="00C03BB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8"/>
          <w:szCs w:val="18"/>
        </w:rPr>
      </w:pPr>
    </w:p>
    <w:p w:rsidR="00C03BB4" w:rsidRDefault="00C03BB4">
      <w:pPr>
        <w:jc w:val="center"/>
        <w:rPr>
          <w:b/>
          <w:sz w:val="22"/>
        </w:rPr>
      </w:pPr>
    </w:p>
    <w:p w:rsidR="00C03BB4" w:rsidRDefault="00C03BB4">
      <w:pPr>
        <w:jc w:val="center"/>
        <w:rPr>
          <w:b/>
        </w:rPr>
      </w:pPr>
      <w:r>
        <w:rPr>
          <w:b/>
        </w:rPr>
        <w:t>For Change Control Manager Use Only: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C03BB4"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sz w:val="20"/>
              </w:rPr>
              <w:t>Date of EDEWG Discussion:</w:t>
            </w:r>
          </w:p>
          <w:p w:rsidR="00C03BB4" w:rsidRDefault="00C54405">
            <w:pPr>
              <w:rPr>
                <w:sz w:val="20"/>
              </w:rPr>
            </w:pPr>
            <w:r>
              <w:rPr>
                <w:sz w:val="20"/>
              </w:rPr>
              <w:t>11/12/2015</w:t>
            </w:r>
            <w:r w:rsidR="002F2D54">
              <w:rPr>
                <w:sz w:val="20"/>
              </w:rPr>
              <w:t>, 12/3/2015</w:t>
            </w:r>
          </w:p>
        </w:tc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  <w:r>
              <w:rPr>
                <w:sz w:val="20"/>
              </w:rPr>
              <w:t xml:space="preserve">Expected Implementation Date:    </w:t>
            </w:r>
          </w:p>
          <w:p w:rsidR="00C03BB4" w:rsidRDefault="00AE7420">
            <w:pPr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3672" w:type="dxa"/>
          </w:tcPr>
          <w:p w:rsidR="00C03BB4" w:rsidRDefault="00C03BB4">
            <w:pPr>
              <w:rPr>
                <w:sz w:val="20"/>
              </w:rPr>
            </w:pPr>
          </w:p>
          <w:p w:rsidR="00C03BB4" w:rsidRDefault="00C03BB4">
            <w:pPr>
              <w:rPr>
                <w:sz w:val="20"/>
              </w:rPr>
            </w:pPr>
          </w:p>
        </w:tc>
      </w:tr>
    </w:tbl>
    <w:p w:rsidR="00C03BB4" w:rsidRDefault="00C03BB4">
      <w:pPr>
        <w:rPr>
          <w:sz w:val="16"/>
        </w:rPr>
      </w:pPr>
    </w:p>
    <w:p w:rsidR="00C03BB4" w:rsidRDefault="00C03BB4">
      <w:r>
        <w:rPr>
          <w:b/>
        </w:rPr>
        <w:t>EDEWG Discussion and Resolution</w:t>
      </w:r>
      <w:r>
        <w:t>:</w:t>
      </w:r>
    </w:p>
    <w:p w:rsidR="00C03BB4" w:rsidRPr="007E33C2" w:rsidRDefault="00C54405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>11/12/2015 – Brandon Siegel:  Received request, assigned SU-MR #001 and placed on 11/12/15 EDEWG meeting agenda.</w:t>
      </w:r>
    </w:p>
    <w:p w:rsidR="00C03BB4" w:rsidRPr="007E33C2" w:rsidRDefault="002F2D5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>12/3/2015 – Brandon Siegel:   EDEWG discussed and agreed the first option provided in the original request will be used to resolve the issue.     EDEWG approved SU-MR#001 based on the agreed changes. SU-MR#001has been updated to reflect the change.</w:t>
      </w:r>
    </w:p>
    <w:p w:rsidR="00C03BB4" w:rsidRPr="007E33C2" w:rsidRDefault="00C03BB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sz w:val="16"/>
          <w:szCs w:val="16"/>
        </w:rPr>
      </w:pPr>
    </w:p>
    <w:p w:rsidR="00C03BB4" w:rsidRDefault="00C03BB4">
      <w:pPr>
        <w:jc w:val="center"/>
        <w:rPr>
          <w:b/>
          <w:sz w:val="22"/>
        </w:rPr>
      </w:pPr>
    </w:p>
    <w:p w:rsidR="00C03BB4" w:rsidRDefault="00C03BB4">
      <w:pPr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Priority Classifications</w:t>
      </w:r>
    </w:p>
    <w:p w:rsidR="00C03BB4" w:rsidRDefault="00C03BB4">
      <w:pPr>
        <w:tabs>
          <w:tab w:val="left" w:pos="1908"/>
          <w:tab w:val="left" w:pos="11016"/>
        </w:tabs>
        <w:rPr>
          <w:i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9090"/>
      </w:tblGrid>
      <w:tr w:rsidR="00C03BB4">
        <w:tc>
          <w:tcPr>
            <w:tcW w:w="1908" w:type="dxa"/>
          </w:tcPr>
          <w:p w:rsidR="00C03BB4" w:rsidRDefault="00C03BB4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Emergency Priority</w:t>
            </w:r>
          </w:p>
        </w:tc>
        <w:tc>
          <w:tcPr>
            <w:tcW w:w="9090" w:type="dxa"/>
          </w:tcPr>
          <w:p w:rsidR="00C03BB4" w:rsidRDefault="00C03BB4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Implemented within 10 days or otherwise directed by EDEWG</w:t>
            </w:r>
          </w:p>
        </w:tc>
      </w:tr>
      <w:tr w:rsidR="00C03BB4">
        <w:tc>
          <w:tcPr>
            <w:tcW w:w="1908" w:type="dxa"/>
          </w:tcPr>
          <w:p w:rsidR="00C03BB4" w:rsidRDefault="00C03BB4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High Priority</w:t>
            </w:r>
          </w:p>
        </w:tc>
        <w:tc>
          <w:tcPr>
            <w:tcW w:w="9090" w:type="dxa"/>
          </w:tcPr>
          <w:p w:rsidR="00C03BB4" w:rsidRDefault="00C03BB4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implemented with 30 days. The next release, or as otherwise directed by EDEWG</w:t>
            </w:r>
          </w:p>
        </w:tc>
      </w:tr>
      <w:tr w:rsidR="00C03BB4">
        <w:tc>
          <w:tcPr>
            <w:tcW w:w="1908" w:type="dxa"/>
          </w:tcPr>
          <w:p w:rsidR="00C03BB4" w:rsidRDefault="00C03BB4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Low Priority</w:t>
            </w:r>
          </w:p>
        </w:tc>
        <w:tc>
          <w:tcPr>
            <w:tcW w:w="9090" w:type="dxa"/>
          </w:tcPr>
          <w:p w:rsidR="00C03BB4" w:rsidRDefault="00C03BB4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Changes / Enhancements implemented no earlier than 90 days, Future Release, or as otherwise directed by EDEWG</w:t>
            </w:r>
          </w:p>
        </w:tc>
      </w:tr>
    </w:tbl>
    <w:p w:rsidR="00C03BB4" w:rsidRDefault="00C03BB4">
      <w:pPr>
        <w:rPr>
          <w:sz w:val="20"/>
        </w:rPr>
      </w:pPr>
    </w:p>
    <w:p w:rsidR="00857EA5" w:rsidRDefault="00C03BB4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Please submit this form via e-mail to both</w:t>
      </w:r>
      <w:r w:rsidR="00857EA5">
        <w:rPr>
          <w:b/>
          <w:i/>
          <w:sz w:val="20"/>
        </w:rPr>
        <w:t xml:space="preserve"> </w:t>
      </w:r>
      <w:hyperlink r:id="rId12" w:history="1">
        <w:r w:rsidR="00857EA5" w:rsidRPr="00857EA5">
          <w:rPr>
            <w:rStyle w:val="Hyperlink"/>
            <w:sz w:val="20"/>
          </w:rPr>
          <w:t>jmccracken@pa.gov</w:t>
        </w:r>
      </w:hyperlink>
      <w:r w:rsidR="00857EA5">
        <w:rPr>
          <w:b/>
          <w:i/>
          <w:sz w:val="20"/>
        </w:rPr>
        <w:t xml:space="preserve"> and </w:t>
      </w:r>
      <w:hyperlink r:id="rId13" w:history="1">
        <w:r w:rsidR="00857EA5" w:rsidRPr="00857EA5">
          <w:rPr>
            <w:rStyle w:val="Hyperlink"/>
            <w:sz w:val="20"/>
          </w:rPr>
          <w:t>lyalcin@pa.gov</w:t>
        </w:r>
      </w:hyperlink>
    </w:p>
    <w:p w:rsidR="00C03BB4" w:rsidRDefault="00857EA5">
      <w:pPr>
        <w:jc w:val="center"/>
        <w:rPr>
          <w:b/>
          <w:i/>
          <w:sz w:val="20"/>
        </w:rPr>
      </w:pPr>
      <w:proofErr w:type="gramStart"/>
      <w:r>
        <w:rPr>
          <w:b/>
          <w:i/>
          <w:sz w:val="20"/>
        </w:rPr>
        <w:t>at</w:t>
      </w:r>
      <w:proofErr w:type="gramEnd"/>
      <w:r>
        <w:rPr>
          <w:b/>
          <w:i/>
          <w:sz w:val="20"/>
        </w:rPr>
        <w:t xml:space="preserve"> the PUC </w:t>
      </w:r>
      <w:r w:rsidR="00C03BB4">
        <w:rPr>
          <w:b/>
          <w:i/>
          <w:sz w:val="20"/>
        </w:rPr>
        <w:t xml:space="preserve">and to the </w:t>
      </w:r>
    </w:p>
    <w:p w:rsidR="00C03BB4" w:rsidRDefault="00C03BB4">
      <w:pPr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Change Control Manager, </w:t>
      </w:r>
      <w:r w:rsidR="00DE495D">
        <w:rPr>
          <w:b/>
          <w:i/>
          <w:sz w:val="20"/>
        </w:rPr>
        <w:t>Brandon Siegel</w:t>
      </w:r>
      <w:r>
        <w:rPr>
          <w:b/>
          <w:i/>
          <w:sz w:val="20"/>
        </w:rPr>
        <w:t xml:space="preserve"> at </w:t>
      </w:r>
      <w:hyperlink r:id="rId14" w:history="1">
        <w:r w:rsidR="005E3C3D">
          <w:rPr>
            <w:rStyle w:val="Hyperlink"/>
            <w:sz w:val="20"/>
          </w:rPr>
          <w:t>brandon.siegel@intelometry.com</w:t>
        </w:r>
      </w:hyperlink>
      <w:r>
        <w:rPr>
          <w:b/>
          <w:i/>
          <w:sz w:val="20"/>
        </w:rPr>
        <w:t xml:space="preserve">  </w:t>
      </w:r>
    </w:p>
    <w:p w:rsidR="00C03BB4" w:rsidRDefault="00C03BB4">
      <w:pPr>
        <w:jc w:val="center"/>
        <w:rPr>
          <w:b/>
          <w:i/>
          <w:sz w:val="20"/>
        </w:rPr>
      </w:pPr>
    </w:p>
    <w:p w:rsidR="00C03BB4" w:rsidRDefault="00C03BB4">
      <w:pPr>
        <w:jc w:val="center"/>
        <w:rPr>
          <w:sz w:val="22"/>
        </w:rPr>
      </w:pPr>
      <w:r>
        <w:rPr>
          <w:i/>
          <w:sz w:val="20"/>
        </w:rPr>
        <w:t>Your request will be evaluated and prioritized at an upcoming EDEWG meeting or conference call.</w:t>
      </w:r>
      <w:r>
        <w:rPr>
          <w:sz w:val="22"/>
        </w:rPr>
        <w:t xml:space="preserve"> </w:t>
      </w:r>
    </w:p>
    <w:sectPr w:rsidR="00C03BB4">
      <w:pgSz w:w="12240" w:h="15840" w:code="1"/>
      <w:pgMar w:top="720" w:right="720" w:bottom="72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B2A" w:rsidRDefault="00FD3B2A">
      <w:r>
        <w:separator/>
      </w:r>
    </w:p>
  </w:endnote>
  <w:endnote w:type="continuationSeparator" w:id="0">
    <w:p w:rsidR="00FD3B2A" w:rsidRDefault="00FD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B2A" w:rsidRDefault="00FD3B2A">
      <w:r>
        <w:separator/>
      </w:r>
    </w:p>
  </w:footnote>
  <w:footnote w:type="continuationSeparator" w:id="0">
    <w:p w:rsidR="00FD3B2A" w:rsidRDefault="00FD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A7F2DF9"/>
    <w:multiLevelType w:val="singleLevel"/>
    <w:tmpl w:val="E2D810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E"/>
    <w:rsid w:val="00005A2A"/>
    <w:rsid w:val="000233E2"/>
    <w:rsid w:val="00036628"/>
    <w:rsid w:val="00050E5E"/>
    <w:rsid w:val="00064BA4"/>
    <w:rsid w:val="00095C7E"/>
    <w:rsid w:val="000C08B0"/>
    <w:rsid w:val="0014182A"/>
    <w:rsid w:val="00161B76"/>
    <w:rsid w:val="001D75F4"/>
    <w:rsid w:val="002235AF"/>
    <w:rsid w:val="00223FFB"/>
    <w:rsid w:val="00261E40"/>
    <w:rsid w:val="002B5235"/>
    <w:rsid w:val="002F2D54"/>
    <w:rsid w:val="00344A16"/>
    <w:rsid w:val="00361DBF"/>
    <w:rsid w:val="00390071"/>
    <w:rsid w:val="003C4A55"/>
    <w:rsid w:val="00420C5C"/>
    <w:rsid w:val="00454893"/>
    <w:rsid w:val="004B4C5E"/>
    <w:rsid w:val="004F1ECE"/>
    <w:rsid w:val="00591BA6"/>
    <w:rsid w:val="005E2D4F"/>
    <w:rsid w:val="005E3C3D"/>
    <w:rsid w:val="005F08DA"/>
    <w:rsid w:val="006306AB"/>
    <w:rsid w:val="006732C3"/>
    <w:rsid w:val="007B6C77"/>
    <w:rsid w:val="007E33C2"/>
    <w:rsid w:val="00811FF6"/>
    <w:rsid w:val="00857EA5"/>
    <w:rsid w:val="008B0CA0"/>
    <w:rsid w:val="008F4607"/>
    <w:rsid w:val="009A4E4C"/>
    <w:rsid w:val="009C508A"/>
    <w:rsid w:val="00A07D3C"/>
    <w:rsid w:val="00A74976"/>
    <w:rsid w:val="00AA30E3"/>
    <w:rsid w:val="00AA4DD7"/>
    <w:rsid w:val="00AC0243"/>
    <w:rsid w:val="00AD156F"/>
    <w:rsid w:val="00AE7420"/>
    <w:rsid w:val="00B03478"/>
    <w:rsid w:val="00B721EB"/>
    <w:rsid w:val="00B911A0"/>
    <w:rsid w:val="00C03BB4"/>
    <w:rsid w:val="00C54405"/>
    <w:rsid w:val="00C7196E"/>
    <w:rsid w:val="00C8068C"/>
    <w:rsid w:val="00CC75FF"/>
    <w:rsid w:val="00CD3FC8"/>
    <w:rsid w:val="00CF53C6"/>
    <w:rsid w:val="00D3745A"/>
    <w:rsid w:val="00DD03AD"/>
    <w:rsid w:val="00DE495D"/>
    <w:rsid w:val="00DF2362"/>
    <w:rsid w:val="00E72B44"/>
    <w:rsid w:val="00EC2A64"/>
    <w:rsid w:val="00EE2FA0"/>
    <w:rsid w:val="00F0503F"/>
    <w:rsid w:val="00F3136E"/>
    <w:rsid w:val="00F80D17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54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4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54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lectric/electric_edewg_download.aspx" TargetMode="External"/><Relationship Id="rId13" Type="http://schemas.openxmlformats.org/officeDocument/2006/relationships/hyperlink" Target="mailto:lyalcin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oseph.bisti@peco-energy.com" TargetMode="External"/><Relationship Id="rId14" Type="http://schemas.openxmlformats.org/officeDocument/2006/relationships/hyperlink" Target="mailto:brandon.siegel@intelome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Standards Change Request</vt:lpstr>
    </vt:vector>
  </TitlesOfParts>
  <Company>Pennsylvania Power and Light</Company>
  <LinksUpToDate>false</LinksUpToDate>
  <CharactersWithSpaces>4240</CharactersWithSpaces>
  <SharedDoc>false</SharedDoc>
  <HLinks>
    <vt:vector size="30" baseType="variant">
      <vt:variant>
        <vt:i4>6946823</vt:i4>
      </vt:variant>
      <vt:variant>
        <vt:i4>12</vt:i4>
      </vt:variant>
      <vt:variant>
        <vt:i4>0</vt:i4>
      </vt:variant>
      <vt:variant>
        <vt:i4>5</vt:i4>
      </vt:variant>
      <vt:variant>
        <vt:lpwstr>mailto:brandon.siegel@intelometry.com</vt:lpwstr>
      </vt:variant>
      <vt:variant>
        <vt:lpwstr/>
      </vt:variant>
      <vt:variant>
        <vt:i4>5439600</vt:i4>
      </vt:variant>
      <vt:variant>
        <vt:i4>9</vt:i4>
      </vt:variant>
      <vt:variant>
        <vt:i4>0</vt:i4>
      </vt:variant>
      <vt:variant>
        <vt:i4>5</vt:i4>
      </vt:variant>
      <vt:variant>
        <vt:lpwstr>mailto:lyalcin@pa.gov</vt:lpwstr>
      </vt:variant>
      <vt:variant>
        <vt:lpwstr/>
      </vt:variant>
      <vt:variant>
        <vt:i4>3080209</vt:i4>
      </vt:variant>
      <vt:variant>
        <vt:i4>6</vt:i4>
      </vt:variant>
      <vt:variant>
        <vt:i4>0</vt:i4>
      </vt:variant>
      <vt:variant>
        <vt:i4>5</vt:i4>
      </vt:variant>
      <vt:variant>
        <vt:lpwstr>mailto:jmccracken@pa.gov</vt:lpwstr>
      </vt:variant>
      <vt:variant>
        <vt:lpwstr/>
      </vt:variant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mailto:joseph.bisti@peco-energy.com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http://www.puc.state.pa.us/electric/electric_edewg_download.aspx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Standards Change Request</dc:title>
  <dc:creator>MARINO</dc:creator>
  <cp:lastModifiedBy>Page, Cyndi</cp:lastModifiedBy>
  <cp:revision>2</cp:revision>
  <cp:lastPrinted>2014-11-28T15:45:00Z</cp:lastPrinted>
  <dcterms:created xsi:type="dcterms:W3CDTF">2016-01-12T21:59:00Z</dcterms:created>
  <dcterms:modified xsi:type="dcterms:W3CDTF">2016-01-12T21:59:00Z</dcterms:modified>
</cp:coreProperties>
</file>