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173926">
        <w:rPr>
          <w:sz w:val="24"/>
          <w:szCs w:val="24"/>
        </w:rPr>
        <w:t>4</w:t>
      </w:r>
      <w:r w:rsidR="00103A44">
        <w:rPr>
          <w:sz w:val="24"/>
          <w:szCs w:val="24"/>
        </w:rPr>
        <w:t>/</w:t>
      </w:r>
      <w:r w:rsidR="00173926">
        <w:rPr>
          <w:sz w:val="24"/>
          <w:szCs w:val="24"/>
        </w:rPr>
        <w:t>2</w:t>
      </w:r>
      <w:r w:rsidR="00DB7C50">
        <w:rPr>
          <w:sz w:val="24"/>
          <w:szCs w:val="24"/>
        </w:rPr>
        <w:t>/201</w:t>
      </w:r>
      <w:r w:rsidR="00D00D8D">
        <w:rPr>
          <w:sz w:val="24"/>
          <w:szCs w:val="24"/>
        </w:rPr>
        <w:t>5</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r w:rsidR="0091568A">
        <w:rPr>
          <w:sz w:val="24"/>
          <w:szCs w:val="24"/>
        </w:rPr>
        <w:t>, PECO</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AEP Energy</w:t>
      </w:r>
      <w:r w:rsidR="00F10AC4">
        <w:rPr>
          <w:sz w:val="24"/>
          <w:szCs w:val="24"/>
        </w:rPr>
        <w:t xml:space="preserve">, </w:t>
      </w:r>
      <w:r w:rsidR="00F54AD4">
        <w:rPr>
          <w:sz w:val="24"/>
          <w:szCs w:val="24"/>
        </w:rPr>
        <w:t>UGI Energy Services, PPL Solutions, Liberty Power, Latitude Technologies</w:t>
      </w:r>
      <w:r w:rsidR="00D13922">
        <w:rPr>
          <w:sz w:val="24"/>
          <w:szCs w:val="24"/>
        </w:rPr>
        <w:t xml:space="preserve">, </w:t>
      </w:r>
      <w:proofErr w:type="spellStart"/>
      <w:r w:rsidR="00D13922">
        <w:rPr>
          <w:sz w:val="24"/>
          <w:szCs w:val="24"/>
        </w:rPr>
        <w:t>Aurea</w:t>
      </w:r>
      <w:proofErr w:type="spellEnd"/>
      <w:r w:rsidR="00D13922">
        <w:rPr>
          <w:sz w:val="24"/>
          <w:szCs w:val="24"/>
        </w:rPr>
        <w:t xml:space="preserve">, </w:t>
      </w:r>
      <w:r w:rsidR="004B16D2">
        <w:rPr>
          <w:sz w:val="24"/>
          <w:szCs w:val="24"/>
        </w:rPr>
        <w:t xml:space="preserve">ATMS, Crius Energy, Duke Energy Retail, </w:t>
      </w:r>
      <w:r w:rsidR="0091568A">
        <w:rPr>
          <w:sz w:val="24"/>
          <w:szCs w:val="24"/>
        </w:rPr>
        <w:t xml:space="preserve">Energy Services Group, </w:t>
      </w:r>
      <w:r w:rsidR="00173926">
        <w:rPr>
          <w:sz w:val="24"/>
          <w:szCs w:val="24"/>
        </w:rPr>
        <w:t>ERTH, GDF Suez, NRG</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173926">
        <w:rPr>
          <w:sz w:val="24"/>
          <w:szCs w:val="24"/>
        </w:rPr>
        <w:t>PA PUC Staff (Jeff McCracken &amp; Lee Yalcin)</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173926" w:rsidRPr="00173926" w:rsidRDefault="00173926" w:rsidP="00173926">
      <w:pPr>
        <w:numPr>
          <w:ilvl w:val="0"/>
          <w:numId w:val="2"/>
        </w:numPr>
        <w:rPr>
          <w:color w:val="000000"/>
        </w:rPr>
      </w:pPr>
      <w:r w:rsidRPr="00173926">
        <w:rPr>
          <w:color w:val="000000"/>
        </w:rPr>
        <w:t>Roll Call</w:t>
      </w:r>
    </w:p>
    <w:p w:rsidR="00173926" w:rsidRPr="00173926" w:rsidRDefault="00173926" w:rsidP="00173926">
      <w:pPr>
        <w:numPr>
          <w:ilvl w:val="0"/>
          <w:numId w:val="2"/>
        </w:numPr>
        <w:rPr>
          <w:color w:val="000000"/>
        </w:rPr>
      </w:pPr>
      <w:r w:rsidRPr="00173926">
        <w:rPr>
          <w:color w:val="000000"/>
        </w:rPr>
        <w:t>Approve February meeting minutes (sent to list server 3/6/15)</w:t>
      </w:r>
    </w:p>
    <w:p w:rsidR="00173926" w:rsidRPr="00173926" w:rsidRDefault="00173926" w:rsidP="00173926">
      <w:pPr>
        <w:numPr>
          <w:ilvl w:val="0"/>
          <w:numId w:val="2"/>
        </w:numPr>
        <w:rPr>
          <w:color w:val="000000"/>
        </w:rPr>
      </w:pPr>
      <w:r w:rsidRPr="00173926">
        <w:rPr>
          <w:color w:val="000000"/>
        </w:rPr>
        <w:t>Duquesne’s FOCUS project – status update</w:t>
      </w:r>
    </w:p>
    <w:p w:rsidR="00173926" w:rsidRPr="00173926" w:rsidRDefault="00173926" w:rsidP="00173926">
      <w:pPr>
        <w:numPr>
          <w:ilvl w:val="0"/>
          <w:numId w:val="2"/>
        </w:numPr>
        <w:rPr>
          <w:color w:val="000000"/>
        </w:rPr>
      </w:pPr>
      <w:r w:rsidRPr="00173926">
        <w:rPr>
          <w:color w:val="000000"/>
        </w:rPr>
        <w:t>Mid-Cycle/Accelerated Switching – status update for Phase II</w:t>
      </w:r>
    </w:p>
    <w:p w:rsidR="00173926" w:rsidRPr="00173926" w:rsidRDefault="00173926" w:rsidP="00173926">
      <w:pPr>
        <w:numPr>
          <w:ilvl w:val="0"/>
          <w:numId w:val="2"/>
        </w:numPr>
        <w:rPr>
          <w:color w:val="000000"/>
        </w:rPr>
      </w:pPr>
      <w:r w:rsidRPr="00173926">
        <w:rPr>
          <w:color w:val="000000"/>
        </w:rPr>
        <w:t>Seamless Move &amp; Instant Connect – PUC order for EDCs to file updated plans</w:t>
      </w:r>
    </w:p>
    <w:p w:rsidR="00173926" w:rsidRPr="00173926" w:rsidRDefault="00173926" w:rsidP="00173926">
      <w:pPr>
        <w:numPr>
          <w:ilvl w:val="0"/>
          <w:numId w:val="2"/>
        </w:numPr>
        <w:rPr>
          <w:color w:val="000000"/>
        </w:rPr>
      </w:pPr>
      <w:r w:rsidRPr="00173926">
        <w:rPr>
          <w:color w:val="000000"/>
        </w:rPr>
        <w:t>Revisit CC #105 to confirm EDC handling – EDCs please confirm rollover notes on p.2 of CC #105_Update (attached)</w:t>
      </w:r>
    </w:p>
    <w:p w:rsidR="00173926" w:rsidRDefault="00173926" w:rsidP="00173926">
      <w:pPr>
        <w:numPr>
          <w:ilvl w:val="0"/>
          <w:numId w:val="2"/>
        </w:numPr>
        <w:rPr>
          <w:color w:val="000000"/>
        </w:rPr>
      </w:pPr>
      <w:r w:rsidRPr="00173926">
        <w:rPr>
          <w:color w:val="000000"/>
        </w:rPr>
        <w:t>New Business</w:t>
      </w:r>
    </w:p>
    <w:p w:rsidR="0091568A" w:rsidRPr="00173926" w:rsidRDefault="00173926" w:rsidP="00173926">
      <w:pPr>
        <w:numPr>
          <w:ilvl w:val="0"/>
          <w:numId w:val="2"/>
        </w:numPr>
        <w:rPr>
          <w:color w:val="000000"/>
        </w:rPr>
      </w:pPr>
      <w:r w:rsidRPr="00173926">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E69A1">
        <w:rPr>
          <w:sz w:val="24"/>
          <w:szCs w:val="24"/>
        </w:rPr>
        <w:t xml:space="preserve"> and</w:t>
      </w:r>
      <w:r w:rsidR="00C12691">
        <w:rPr>
          <w:sz w:val="24"/>
          <w:szCs w:val="24"/>
        </w:rPr>
        <w:t xml:space="preserve">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 &amp; Lee Yalcin,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Pr="00FD42C3" w:rsidRDefault="00A01435" w:rsidP="00A01435">
      <w:pPr>
        <w:pStyle w:val="Heading2"/>
        <w:rPr>
          <w:b w:val="0"/>
          <w:color w:val="000000"/>
          <w:szCs w:val="24"/>
        </w:rPr>
      </w:pPr>
      <w:r>
        <w:rPr>
          <w:b w:val="0"/>
          <w:color w:val="000000"/>
          <w:szCs w:val="24"/>
        </w:rPr>
        <w:t xml:space="preserve">The </w:t>
      </w:r>
      <w:r w:rsidR="00173926">
        <w:rPr>
          <w:b w:val="0"/>
          <w:color w:val="000000"/>
          <w:szCs w:val="24"/>
        </w:rPr>
        <w:t>March</w:t>
      </w:r>
      <w:r>
        <w:rPr>
          <w:b w:val="0"/>
          <w:color w:val="000000"/>
          <w:szCs w:val="24"/>
        </w:rPr>
        <w:t xml:space="preserve"> meeting minutes were approved without revision</w:t>
      </w:r>
    </w:p>
    <w:p w:rsidR="0091568A" w:rsidRPr="00BC10E9" w:rsidRDefault="0091568A" w:rsidP="0091568A"/>
    <w:p w:rsidR="0091568A" w:rsidRDefault="0091568A" w:rsidP="0091568A">
      <w:pPr>
        <w:pStyle w:val="Heading2"/>
        <w:numPr>
          <w:ilvl w:val="1"/>
          <w:numId w:val="1"/>
        </w:numPr>
        <w:ind w:left="360"/>
        <w:rPr>
          <w:szCs w:val="24"/>
        </w:rPr>
      </w:pPr>
      <w:r>
        <w:rPr>
          <w:szCs w:val="24"/>
        </w:rPr>
        <w:t>Update on Duquesne Light’s FOCUS project</w:t>
      </w:r>
    </w:p>
    <w:p w:rsidR="0091568A" w:rsidRDefault="0091568A" w:rsidP="0091568A">
      <w:pPr>
        <w:rPr>
          <w:sz w:val="24"/>
          <w:szCs w:val="24"/>
        </w:rPr>
      </w:pPr>
      <w:r>
        <w:rPr>
          <w:sz w:val="24"/>
          <w:szCs w:val="24"/>
        </w:rPr>
        <w:t>LaMont West (DLC) reported…</w:t>
      </w:r>
    </w:p>
    <w:p w:rsidR="0091568A" w:rsidRDefault="0091568A" w:rsidP="0091568A">
      <w:pPr>
        <w:pStyle w:val="ListParagraph"/>
        <w:numPr>
          <w:ilvl w:val="0"/>
          <w:numId w:val="13"/>
        </w:numPr>
        <w:rPr>
          <w:sz w:val="24"/>
          <w:szCs w:val="24"/>
        </w:rPr>
      </w:pPr>
      <w:r>
        <w:rPr>
          <w:sz w:val="24"/>
          <w:szCs w:val="24"/>
        </w:rPr>
        <w:t>S</w:t>
      </w:r>
      <w:r w:rsidRPr="00147226">
        <w:rPr>
          <w:sz w:val="24"/>
          <w:szCs w:val="24"/>
        </w:rPr>
        <w:t xml:space="preserve">upplier </w:t>
      </w:r>
      <w:r>
        <w:rPr>
          <w:sz w:val="24"/>
          <w:szCs w:val="24"/>
        </w:rPr>
        <w:t>teleconferences continue each Tuesday</w:t>
      </w:r>
      <w:r w:rsidR="00173926">
        <w:rPr>
          <w:sz w:val="24"/>
          <w:szCs w:val="24"/>
        </w:rPr>
        <w:t xml:space="preserve"> &amp; Thursday</w:t>
      </w:r>
      <w:r>
        <w:rPr>
          <w:sz w:val="24"/>
          <w:szCs w:val="24"/>
        </w:rPr>
        <w:t xml:space="preserve"> @ 11AM ET.   These meetings provide a forum for suppliers to report issues and for DLC to pass important updates.   Parties are strongly encouraged to participate.    To participate, please contact </w:t>
      </w:r>
      <w:hyperlink r:id="rId10" w:history="1">
        <w:r w:rsidRPr="00DA10AC">
          <w:rPr>
            <w:rStyle w:val="Hyperlink"/>
            <w:sz w:val="24"/>
            <w:szCs w:val="24"/>
          </w:rPr>
          <w:t>DLC_SSC@duqlight.com</w:t>
        </w:r>
      </w:hyperlink>
      <w:r>
        <w:rPr>
          <w:sz w:val="24"/>
          <w:szCs w:val="24"/>
        </w:rPr>
        <w:t xml:space="preserve"> to be added to the teleconference notifications / access list.</w:t>
      </w:r>
    </w:p>
    <w:p w:rsidR="00173926" w:rsidRDefault="00173926" w:rsidP="0091568A">
      <w:pPr>
        <w:pStyle w:val="ListParagraph"/>
        <w:numPr>
          <w:ilvl w:val="0"/>
          <w:numId w:val="13"/>
        </w:numPr>
        <w:rPr>
          <w:sz w:val="24"/>
          <w:szCs w:val="24"/>
        </w:rPr>
      </w:pPr>
      <w:r>
        <w:rPr>
          <w:sz w:val="24"/>
          <w:szCs w:val="24"/>
        </w:rPr>
        <w:t>During weekend of March 28</w:t>
      </w:r>
      <w:r w:rsidRPr="00173926">
        <w:rPr>
          <w:sz w:val="24"/>
          <w:szCs w:val="24"/>
          <w:vertAlign w:val="superscript"/>
        </w:rPr>
        <w:t>th</w:t>
      </w:r>
      <w:r>
        <w:rPr>
          <w:sz w:val="24"/>
          <w:szCs w:val="24"/>
        </w:rPr>
        <w:t xml:space="preserve"> DLC implemented multiple production fixes</w:t>
      </w:r>
    </w:p>
    <w:p w:rsidR="00B41161" w:rsidRDefault="00B41161" w:rsidP="00B41161"/>
    <w:p w:rsidR="00173926" w:rsidRDefault="00173926" w:rsidP="00B41161"/>
    <w:p w:rsidR="00173926" w:rsidRDefault="00173926" w:rsidP="00B41161"/>
    <w:p w:rsidR="00173926" w:rsidRDefault="00173926" w:rsidP="00B41161"/>
    <w:p w:rsidR="00173926" w:rsidRDefault="00173926" w:rsidP="00B41161"/>
    <w:p w:rsidR="00173926" w:rsidRPr="00B41161" w:rsidRDefault="00173926" w:rsidP="00B41161"/>
    <w:p w:rsidR="00D61789" w:rsidRDefault="00D61789" w:rsidP="00D61789">
      <w:pPr>
        <w:pStyle w:val="Heading2"/>
        <w:numPr>
          <w:ilvl w:val="1"/>
          <w:numId w:val="1"/>
        </w:numPr>
        <w:ind w:left="360"/>
        <w:rPr>
          <w:szCs w:val="24"/>
        </w:rPr>
      </w:pPr>
      <w:r>
        <w:rPr>
          <w:szCs w:val="24"/>
        </w:rPr>
        <w:lastRenderedPageBreak/>
        <w:t>Accelerated / Mid-Cycle Customer Switching</w:t>
      </w:r>
      <w:r w:rsidR="00A01435">
        <w:rPr>
          <w:szCs w:val="24"/>
        </w:rPr>
        <w:t xml:space="preserve"> &amp; 814 Enrollment rejections (NLI)</w:t>
      </w:r>
    </w:p>
    <w:p w:rsidR="00D61789" w:rsidRDefault="00173926" w:rsidP="00D61789">
      <w:pPr>
        <w:rPr>
          <w:sz w:val="24"/>
          <w:szCs w:val="24"/>
        </w:rPr>
      </w:pPr>
      <w:r>
        <w:rPr>
          <w:sz w:val="24"/>
          <w:szCs w:val="24"/>
        </w:rPr>
        <w:t xml:space="preserve">Phase </w:t>
      </w:r>
      <w:proofErr w:type="gramStart"/>
      <w:r>
        <w:rPr>
          <w:sz w:val="24"/>
          <w:szCs w:val="24"/>
        </w:rPr>
        <w:t>I</w:t>
      </w:r>
      <w:proofErr w:type="gramEnd"/>
      <w:r>
        <w:rPr>
          <w:sz w:val="24"/>
          <w:szCs w:val="24"/>
        </w:rPr>
        <w:t xml:space="preserve"> Status of</w:t>
      </w:r>
      <w:r w:rsidR="00D61789">
        <w:rPr>
          <w:sz w:val="24"/>
          <w:szCs w:val="24"/>
        </w:rPr>
        <w:t xml:space="preserve"> the EDCs…</w:t>
      </w:r>
    </w:p>
    <w:p w:rsidR="00D61789" w:rsidRPr="00837067" w:rsidRDefault="00D61789" w:rsidP="00D61789">
      <w:pPr>
        <w:pStyle w:val="ListParagraph"/>
        <w:numPr>
          <w:ilvl w:val="0"/>
          <w:numId w:val="18"/>
        </w:numPr>
        <w:rPr>
          <w:sz w:val="24"/>
          <w:szCs w:val="24"/>
        </w:rPr>
      </w:pPr>
      <w:r w:rsidRPr="00837067">
        <w:rPr>
          <w:sz w:val="24"/>
          <w:szCs w:val="24"/>
        </w:rPr>
        <w:t xml:space="preserve">PPL:  </w:t>
      </w:r>
      <w:r w:rsidR="00173926">
        <w:rPr>
          <w:sz w:val="24"/>
          <w:szCs w:val="24"/>
        </w:rPr>
        <w:t>Live</w:t>
      </w:r>
    </w:p>
    <w:p w:rsidR="00D61789" w:rsidRPr="007E4827" w:rsidRDefault="00D61789" w:rsidP="00D61789">
      <w:pPr>
        <w:pStyle w:val="ListParagraph"/>
        <w:numPr>
          <w:ilvl w:val="0"/>
          <w:numId w:val="18"/>
        </w:numPr>
        <w:rPr>
          <w:sz w:val="24"/>
          <w:szCs w:val="24"/>
        </w:rPr>
      </w:pPr>
      <w:r w:rsidRPr="00837067">
        <w:rPr>
          <w:sz w:val="24"/>
          <w:szCs w:val="24"/>
        </w:rPr>
        <w:t xml:space="preserve">PECO:  </w:t>
      </w:r>
      <w:r>
        <w:rPr>
          <w:sz w:val="24"/>
          <w:szCs w:val="24"/>
        </w:rPr>
        <w:t xml:space="preserve">Final (long term) solution live.   </w:t>
      </w:r>
    </w:p>
    <w:p w:rsidR="00D61789" w:rsidRPr="00837067" w:rsidRDefault="00D61789" w:rsidP="003F22EF">
      <w:pPr>
        <w:pStyle w:val="ListParagraph"/>
        <w:numPr>
          <w:ilvl w:val="0"/>
          <w:numId w:val="18"/>
        </w:numPr>
        <w:rPr>
          <w:sz w:val="24"/>
          <w:szCs w:val="24"/>
        </w:rPr>
      </w:pPr>
      <w:r>
        <w:rPr>
          <w:sz w:val="24"/>
          <w:szCs w:val="24"/>
        </w:rPr>
        <w:t xml:space="preserve">FirstEnergy:  </w:t>
      </w:r>
      <w:r w:rsidR="00173926">
        <w:rPr>
          <w:sz w:val="24"/>
          <w:szCs w:val="24"/>
        </w:rPr>
        <w:t>Live</w:t>
      </w:r>
      <w:r>
        <w:rPr>
          <w:sz w:val="24"/>
          <w:szCs w:val="24"/>
        </w:rPr>
        <w:t xml:space="preserve"> </w:t>
      </w:r>
    </w:p>
    <w:p w:rsidR="00D61789" w:rsidRDefault="00D61789" w:rsidP="00D61789">
      <w:pPr>
        <w:pStyle w:val="ListParagraph"/>
        <w:numPr>
          <w:ilvl w:val="0"/>
          <w:numId w:val="18"/>
        </w:numPr>
        <w:rPr>
          <w:sz w:val="24"/>
          <w:szCs w:val="24"/>
        </w:rPr>
      </w:pPr>
      <w:r w:rsidRPr="00837067">
        <w:rPr>
          <w:sz w:val="24"/>
          <w:szCs w:val="24"/>
        </w:rPr>
        <w:t xml:space="preserve">Duquesne:  </w:t>
      </w:r>
      <w:r w:rsidR="00173926">
        <w:rPr>
          <w:sz w:val="24"/>
          <w:szCs w:val="24"/>
        </w:rPr>
        <w:t>Live</w:t>
      </w:r>
    </w:p>
    <w:p w:rsidR="00D61789" w:rsidRPr="00173926" w:rsidRDefault="00D61789" w:rsidP="00173926">
      <w:pPr>
        <w:rPr>
          <w:sz w:val="24"/>
          <w:szCs w:val="24"/>
        </w:rPr>
      </w:pPr>
      <w:r w:rsidRPr="00173926">
        <w:rPr>
          <w:sz w:val="24"/>
          <w:szCs w:val="24"/>
        </w:rPr>
        <w:t xml:space="preserve">814 </w:t>
      </w:r>
      <w:r w:rsidR="00A01435" w:rsidRPr="00173926">
        <w:rPr>
          <w:sz w:val="24"/>
          <w:szCs w:val="24"/>
        </w:rPr>
        <w:t xml:space="preserve">Enrollment </w:t>
      </w:r>
      <w:r w:rsidRPr="00173926">
        <w:rPr>
          <w:sz w:val="24"/>
          <w:szCs w:val="24"/>
        </w:rPr>
        <w:t xml:space="preserve">Rejections for Not Last </w:t>
      </w:r>
      <w:proofErr w:type="gramStart"/>
      <w:r w:rsidRPr="00173926">
        <w:rPr>
          <w:sz w:val="24"/>
          <w:szCs w:val="24"/>
        </w:rPr>
        <w:t>In</w:t>
      </w:r>
      <w:proofErr w:type="gramEnd"/>
      <w:r w:rsidRPr="00173926">
        <w:rPr>
          <w:sz w:val="24"/>
          <w:szCs w:val="24"/>
        </w:rPr>
        <w:t xml:space="preserve"> (NLI) from the February </w:t>
      </w:r>
      <w:r w:rsidR="003F22EF">
        <w:rPr>
          <w:sz w:val="24"/>
          <w:szCs w:val="24"/>
        </w:rPr>
        <w:t xml:space="preserve">2015 </w:t>
      </w:r>
      <w:r w:rsidRPr="00173926">
        <w:rPr>
          <w:sz w:val="24"/>
          <w:szCs w:val="24"/>
        </w:rPr>
        <w:t>meeting…</w:t>
      </w:r>
    </w:p>
    <w:p w:rsidR="00D61789" w:rsidRDefault="00D61789" w:rsidP="00173926">
      <w:pPr>
        <w:pStyle w:val="ListParagraph"/>
        <w:numPr>
          <w:ilvl w:val="0"/>
          <w:numId w:val="18"/>
        </w:numPr>
        <w:rPr>
          <w:sz w:val="24"/>
          <w:szCs w:val="24"/>
        </w:rPr>
      </w:pPr>
      <w:r>
        <w:rPr>
          <w:sz w:val="24"/>
          <w:szCs w:val="24"/>
        </w:rPr>
        <w:t xml:space="preserve">Two EDCs are working with supplier(s) </w:t>
      </w:r>
      <w:r w:rsidR="00A01435">
        <w:rPr>
          <w:sz w:val="24"/>
          <w:szCs w:val="24"/>
        </w:rPr>
        <w:t>to enroll accounts incorrectly rejected based on DTM129 (contract date/time) value.</w:t>
      </w:r>
    </w:p>
    <w:p w:rsidR="00A01435" w:rsidRDefault="00A01435" w:rsidP="00173926">
      <w:pPr>
        <w:pStyle w:val="ListParagraph"/>
        <w:numPr>
          <w:ilvl w:val="0"/>
          <w:numId w:val="18"/>
        </w:numPr>
        <w:rPr>
          <w:sz w:val="24"/>
          <w:szCs w:val="24"/>
        </w:rPr>
      </w:pPr>
      <w:r>
        <w:rPr>
          <w:sz w:val="24"/>
          <w:szCs w:val="24"/>
        </w:rPr>
        <w:t>One EDC continues to require suppliers to adjust the customer’s DTM129 for the Enrollment to be accepted by the EDC.   While this practice is against EDEWG rules for the DTM129, the suppliers have no choice.</w:t>
      </w:r>
    </w:p>
    <w:p w:rsidR="00A01435" w:rsidRDefault="00A01435" w:rsidP="00173926">
      <w:pPr>
        <w:pStyle w:val="ListParagraph"/>
        <w:numPr>
          <w:ilvl w:val="0"/>
          <w:numId w:val="18"/>
        </w:numPr>
        <w:rPr>
          <w:sz w:val="24"/>
          <w:szCs w:val="24"/>
        </w:rPr>
      </w:pPr>
      <w:r>
        <w:rPr>
          <w:sz w:val="24"/>
          <w:szCs w:val="24"/>
        </w:rPr>
        <w:t>The expectation is for EDCs to remedy the incorrect NLI rejection with their Phase 2 solution for Off Cycle Switching.</w:t>
      </w:r>
    </w:p>
    <w:p w:rsidR="003F22EF" w:rsidRDefault="003F22EF" w:rsidP="003F22EF">
      <w:pPr>
        <w:rPr>
          <w:sz w:val="24"/>
          <w:szCs w:val="24"/>
        </w:rPr>
      </w:pPr>
      <w:proofErr w:type="gramStart"/>
      <w:r>
        <w:rPr>
          <w:sz w:val="24"/>
          <w:szCs w:val="24"/>
        </w:rPr>
        <w:t>Phase</w:t>
      </w:r>
      <w:proofErr w:type="gramEnd"/>
      <w:r>
        <w:rPr>
          <w:sz w:val="24"/>
          <w:szCs w:val="24"/>
        </w:rPr>
        <w:t xml:space="preserve"> </w:t>
      </w:r>
      <w:r>
        <w:rPr>
          <w:sz w:val="24"/>
          <w:szCs w:val="24"/>
        </w:rPr>
        <w:t>I</w:t>
      </w:r>
      <w:r>
        <w:rPr>
          <w:sz w:val="24"/>
          <w:szCs w:val="24"/>
        </w:rPr>
        <w:t>I Status of the EDCs…</w:t>
      </w:r>
    </w:p>
    <w:p w:rsidR="003F22EF" w:rsidRPr="00837067" w:rsidRDefault="003F22EF" w:rsidP="003F22EF">
      <w:pPr>
        <w:pStyle w:val="ListParagraph"/>
        <w:numPr>
          <w:ilvl w:val="0"/>
          <w:numId w:val="18"/>
        </w:numPr>
        <w:rPr>
          <w:sz w:val="24"/>
          <w:szCs w:val="24"/>
        </w:rPr>
      </w:pPr>
      <w:r w:rsidRPr="00837067">
        <w:rPr>
          <w:sz w:val="24"/>
          <w:szCs w:val="24"/>
        </w:rPr>
        <w:t xml:space="preserve">PPL:  </w:t>
      </w:r>
      <w:r>
        <w:rPr>
          <w:sz w:val="24"/>
          <w:szCs w:val="24"/>
        </w:rPr>
        <w:t>On target for August 1</w:t>
      </w:r>
      <w:r w:rsidRPr="003F22EF">
        <w:rPr>
          <w:sz w:val="24"/>
          <w:szCs w:val="24"/>
          <w:vertAlign w:val="superscript"/>
        </w:rPr>
        <w:t>st</w:t>
      </w:r>
      <w:r>
        <w:rPr>
          <w:sz w:val="24"/>
          <w:szCs w:val="24"/>
        </w:rPr>
        <w:t xml:space="preserve"> implementation</w:t>
      </w:r>
    </w:p>
    <w:p w:rsidR="003F22EF" w:rsidRPr="007E4827" w:rsidRDefault="003F22EF" w:rsidP="003F22EF">
      <w:pPr>
        <w:pStyle w:val="ListParagraph"/>
        <w:numPr>
          <w:ilvl w:val="0"/>
          <w:numId w:val="18"/>
        </w:numPr>
        <w:rPr>
          <w:sz w:val="24"/>
          <w:szCs w:val="24"/>
        </w:rPr>
      </w:pPr>
      <w:r w:rsidRPr="00837067">
        <w:rPr>
          <w:sz w:val="24"/>
          <w:szCs w:val="24"/>
        </w:rPr>
        <w:t xml:space="preserve">PECO:  </w:t>
      </w:r>
      <w:r>
        <w:rPr>
          <w:sz w:val="24"/>
          <w:szCs w:val="24"/>
        </w:rPr>
        <w:t xml:space="preserve">Final (long term) solution </w:t>
      </w:r>
      <w:r>
        <w:rPr>
          <w:sz w:val="24"/>
          <w:szCs w:val="24"/>
        </w:rPr>
        <w:t>is live, no Phase II project necessary</w:t>
      </w:r>
      <w:r>
        <w:rPr>
          <w:sz w:val="24"/>
          <w:szCs w:val="24"/>
        </w:rPr>
        <w:t xml:space="preserve"> </w:t>
      </w:r>
    </w:p>
    <w:p w:rsidR="003F22EF" w:rsidRDefault="003F22EF" w:rsidP="003F22EF">
      <w:pPr>
        <w:pStyle w:val="ListParagraph"/>
        <w:numPr>
          <w:ilvl w:val="0"/>
          <w:numId w:val="18"/>
        </w:numPr>
        <w:rPr>
          <w:sz w:val="24"/>
          <w:szCs w:val="24"/>
        </w:rPr>
      </w:pPr>
      <w:r>
        <w:rPr>
          <w:sz w:val="24"/>
          <w:szCs w:val="24"/>
        </w:rPr>
        <w:t>FirstEnergy:  project underway</w:t>
      </w:r>
      <w:r>
        <w:rPr>
          <w:sz w:val="24"/>
          <w:szCs w:val="24"/>
        </w:rPr>
        <w:t>, target date TBA</w:t>
      </w:r>
    </w:p>
    <w:p w:rsidR="003F22EF" w:rsidRDefault="003F22EF" w:rsidP="003F22EF">
      <w:pPr>
        <w:pStyle w:val="ListParagraph"/>
        <w:numPr>
          <w:ilvl w:val="1"/>
          <w:numId w:val="18"/>
        </w:numPr>
        <w:rPr>
          <w:sz w:val="24"/>
          <w:szCs w:val="24"/>
        </w:rPr>
      </w:pPr>
      <w:r>
        <w:rPr>
          <w:sz w:val="24"/>
          <w:szCs w:val="24"/>
        </w:rPr>
        <w:t>Waiver through June 15</w:t>
      </w:r>
      <w:r w:rsidRPr="00D61789">
        <w:rPr>
          <w:sz w:val="24"/>
          <w:szCs w:val="24"/>
          <w:vertAlign w:val="superscript"/>
        </w:rPr>
        <w:t>th</w:t>
      </w:r>
    </w:p>
    <w:p w:rsidR="003F22EF" w:rsidRPr="00837067" w:rsidRDefault="003F22EF" w:rsidP="003F22EF">
      <w:pPr>
        <w:pStyle w:val="ListParagraph"/>
        <w:numPr>
          <w:ilvl w:val="1"/>
          <w:numId w:val="18"/>
        </w:numPr>
        <w:rPr>
          <w:sz w:val="24"/>
          <w:szCs w:val="24"/>
        </w:rPr>
      </w:pPr>
      <w:r>
        <w:rPr>
          <w:sz w:val="24"/>
          <w:szCs w:val="24"/>
        </w:rPr>
        <w:t xml:space="preserve">Unmetered </w:t>
      </w:r>
      <w:r>
        <w:rPr>
          <w:sz w:val="24"/>
          <w:szCs w:val="24"/>
        </w:rPr>
        <w:t xml:space="preserve">waiver through </w:t>
      </w:r>
      <w:r>
        <w:rPr>
          <w:sz w:val="24"/>
          <w:szCs w:val="24"/>
        </w:rPr>
        <w:t>December 31</w:t>
      </w:r>
      <w:r w:rsidRPr="00D61789">
        <w:rPr>
          <w:sz w:val="24"/>
          <w:szCs w:val="24"/>
          <w:vertAlign w:val="superscript"/>
        </w:rPr>
        <w:t>st</w:t>
      </w:r>
      <w:r>
        <w:rPr>
          <w:sz w:val="24"/>
          <w:szCs w:val="24"/>
        </w:rPr>
        <w:t xml:space="preserve"> </w:t>
      </w:r>
    </w:p>
    <w:p w:rsidR="003F22EF" w:rsidRDefault="003F22EF" w:rsidP="003F22EF">
      <w:pPr>
        <w:pStyle w:val="ListParagraph"/>
        <w:numPr>
          <w:ilvl w:val="0"/>
          <w:numId w:val="18"/>
        </w:numPr>
        <w:rPr>
          <w:sz w:val="24"/>
          <w:szCs w:val="24"/>
        </w:rPr>
      </w:pPr>
      <w:r w:rsidRPr="00837067">
        <w:rPr>
          <w:sz w:val="24"/>
          <w:szCs w:val="24"/>
        </w:rPr>
        <w:t xml:space="preserve">Duquesne:  </w:t>
      </w:r>
      <w:r>
        <w:rPr>
          <w:sz w:val="24"/>
          <w:szCs w:val="24"/>
        </w:rPr>
        <w:t>currently project planning, target date TBA</w:t>
      </w:r>
    </w:p>
    <w:p w:rsidR="00D61789" w:rsidRDefault="00D61789" w:rsidP="00D61789">
      <w:pPr>
        <w:pStyle w:val="Heading2"/>
        <w:rPr>
          <w:color w:val="000000"/>
          <w:szCs w:val="24"/>
        </w:rPr>
      </w:pPr>
    </w:p>
    <w:p w:rsidR="003F22EF" w:rsidRDefault="003F22EF" w:rsidP="00A01435">
      <w:pPr>
        <w:pStyle w:val="Heading2"/>
        <w:numPr>
          <w:ilvl w:val="1"/>
          <w:numId w:val="1"/>
        </w:numPr>
        <w:ind w:left="360"/>
        <w:rPr>
          <w:szCs w:val="24"/>
        </w:rPr>
      </w:pPr>
      <w:r>
        <w:rPr>
          <w:szCs w:val="24"/>
        </w:rPr>
        <w:t>Seamless Move / Instant Connect</w:t>
      </w:r>
    </w:p>
    <w:p w:rsidR="003F22EF" w:rsidRDefault="009210C6" w:rsidP="003F22EF">
      <w:pPr>
        <w:rPr>
          <w:sz w:val="24"/>
          <w:szCs w:val="24"/>
        </w:rPr>
      </w:pPr>
      <w:r>
        <w:rPr>
          <w:sz w:val="24"/>
          <w:szCs w:val="24"/>
        </w:rPr>
        <w:t>The PAPUC issued Secretarial Letter on March 20, 2015 directing the EDCs to file updated implementation plans for Seamless Moves &amp; Instant Connects by April 20</w:t>
      </w:r>
      <w:r w:rsidRPr="009210C6">
        <w:rPr>
          <w:sz w:val="24"/>
          <w:szCs w:val="24"/>
          <w:vertAlign w:val="superscript"/>
        </w:rPr>
        <w:t>th</w:t>
      </w:r>
      <w:r>
        <w:rPr>
          <w:sz w:val="24"/>
          <w:szCs w:val="24"/>
        </w:rPr>
        <w:t>, 2015.   A 30 day comment period will be provided once the plans are filed.   The supplier and service provider community should monitor CHARGE distribution as an email will be sent once the plans have been posted to the PAPUC website.</w:t>
      </w:r>
    </w:p>
    <w:p w:rsidR="009210C6" w:rsidRPr="003F22EF" w:rsidRDefault="009210C6" w:rsidP="003F22EF">
      <w:pPr>
        <w:rPr>
          <w:sz w:val="24"/>
          <w:szCs w:val="24"/>
        </w:rPr>
      </w:pPr>
    </w:p>
    <w:p w:rsidR="009210C6" w:rsidRDefault="00103531" w:rsidP="00A01435">
      <w:pPr>
        <w:pStyle w:val="Heading2"/>
        <w:numPr>
          <w:ilvl w:val="1"/>
          <w:numId w:val="1"/>
        </w:numPr>
        <w:ind w:left="360"/>
        <w:rPr>
          <w:szCs w:val="24"/>
        </w:rPr>
      </w:pPr>
      <w:r>
        <w:rPr>
          <w:szCs w:val="24"/>
        </w:rPr>
        <w:t>Revisit</w:t>
      </w:r>
      <w:r w:rsidR="009210C6">
        <w:rPr>
          <w:szCs w:val="24"/>
        </w:rPr>
        <w:t xml:space="preserve"> EDI CC #105_Update to confirm EDC handling</w:t>
      </w:r>
    </w:p>
    <w:p w:rsidR="009210C6" w:rsidRDefault="009210C6" w:rsidP="009210C6">
      <w:pPr>
        <w:rPr>
          <w:sz w:val="24"/>
          <w:szCs w:val="24"/>
        </w:rPr>
      </w:pPr>
      <w:r>
        <w:rPr>
          <w:sz w:val="24"/>
          <w:szCs w:val="24"/>
        </w:rPr>
        <w:t>Due to some recent net metering changes in Maryland and new information from a PA EDC, there is concern the statements relative to excess generation under net metering require updates.   Approved EDI CC #105_Update added clarification of the banked KH rollover process to the PA Notes section of the EDI 867MU and EDI 867IU implementation guidelines.    The EDEWG leadership respectfully requests each EDC review both paragraphs in CC #105</w:t>
      </w:r>
      <w:r w:rsidR="00103531">
        <w:rPr>
          <w:sz w:val="24"/>
          <w:szCs w:val="24"/>
        </w:rPr>
        <w:t>, especially the 2</w:t>
      </w:r>
      <w:r w:rsidR="00103531" w:rsidRPr="00103531">
        <w:rPr>
          <w:sz w:val="24"/>
          <w:szCs w:val="24"/>
          <w:vertAlign w:val="superscript"/>
        </w:rPr>
        <w:t>nd</w:t>
      </w:r>
      <w:r w:rsidR="00103531">
        <w:rPr>
          <w:sz w:val="24"/>
          <w:szCs w:val="24"/>
        </w:rPr>
        <w:t xml:space="preserve"> which has a sentence to address PJM settlement</w:t>
      </w:r>
      <w:r>
        <w:rPr>
          <w:sz w:val="24"/>
          <w:szCs w:val="24"/>
        </w:rPr>
        <w:t xml:space="preserve">.   </w:t>
      </w:r>
      <w:r w:rsidR="00103531">
        <w:rPr>
          <w:sz w:val="24"/>
          <w:szCs w:val="24"/>
        </w:rPr>
        <w:t>EDCs to e</w:t>
      </w:r>
      <w:r>
        <w:rPr>
          <w:sz w:val="24"/>
          <w:szCs w:val="24"/>
        </w:rPr>
        <w:t>ither confirm or send updated verbiage directly to</w:t>
      </w:r>
      <w:r w:rsidR="00103531">
        <w:rPr>
          <w:sz w:val="24"/>
          <w:szCs w:val="24"/>
        </w:rPr>
        <w:t xml:space="preserve"> Brandon Siegel for compilation NLT April 30</w:t>
      </w:r>
      <w:r w:rsidR="00103531" w:rsidRPr="00103531">
        <w:rPr>
          <w:sz w:val="24"/>
          <w:szCs w:val="24"/>
          <w:vertAlign w:val="superscript"/>
        </w:rPr>
        <w:t>th</w:t>
      </w:r>
      <w:r w:rsidR="00103531">
        <w:rPr>
          <w:sz w:val="24"/>
          <w:szCs w:val="24"/>
        </w:rPr>
        <w:t>.  This item will be reviewed and discussed during our May meeting.</w:t>
      </w:r>
    </w:p>
    <w:p w:rsidR="00103531" w:rsidRPr="009210C6" w:rsidRDefault="00103531" w:rsidP="009210C6">
      <w:pPr>
        <w:rPr>
          <w:sz w:val="24"/>
          <w:szCs w:val="24"/>
        </w:rPr>
      </w:pPr>
    </w:p>
    <w:p w:rsidR="00A01435" w:rsidRDefault="00A01435" w:rsidP="00A01435">
      <w:pPr>
        <w:pStyle w:val="Heading2"/>
        <w:numPr>
          <w:ilvl w:val="1"/>
          <w:numId w:val="1"/>
        </w:numPr>
        <w:ind w:left="360"/>
        <w:rPr>
          <w:szCs w:val="24"/>
        </w:rPr>
      </w:pPr>
      <w:r>
        <w:rPr>
          <w:szCs w:val="24"/>
        </w:rPr>
        <w:t>New Business</w:t>
      </w:r>
    </w:p>
    <w:p w:rsidR="00BC10E9" w:rsidRDefault="00103531" w:rsidP="004B16D2">
      <w:pPr>
        <w:pStyle w:val="ListParagraph"/>
        <w:numPr>
          <w:ilvl w:val="0"/>
          <w:numId w:val="19"/>
        </w:numPr>
        <w:rPr>
          <w:sz w:val="24"/>
          <w:szCs w:val="24"/>
        </w:rPr>
      </w:pPr>
      <w:r>
        <w:rPr>
          <w:sz w:val="24"/>
          <w:szCs w:val="24"/>
        </w:rPr>
        <w:t>PUC Staff – reports t</w:t>
      </w:r>
      <w:r w:rsidR="00A01435">
        <w:rPr>
          <w:sz w:val="24"/>
          <w:szCs w:val="24"/>
        </w:rPr>
        <w:t xml:space="preserve">he </w:t>
      </w:r>
      <w:r w:rsidR="004B16D2">
        <w:rPr>
          <w:sz w:val="24"/>
          <w:szCs w:val="24"/>
        </w:rPr>
        <w:t>W</w:t>
      </w:r>
      <w:r w:rsidR="00A01435">
        <w:rPr>
          <w:sz w:val="24"/>
          <w:szCs w:val="24"/>
        </w:rPr>
        <w:t xml:space="preserve">eb Portal Working Group </w:t>
      </w:r>
      <w:r>
        <w:rPr>
          <w:sz w:val="24"/>
          <w:szCs w:val="24"/>
        </w:rPr>
        <w:t>order is scheduled to be on the April 23</w:t>
      </w:r>
      <w:r w:rsidRPr="00103531">
        <w:rPr>
          <w:sz w:val="24"/>
          <w:szCs w:val="24"/>
          <w:vertAlign w:val="superscript"/>
        </w:rPr>
        <w:t>rd</w:t>
      </w:r>
      <w:r>
        <w:rPr>
          <w:sz w:val="24"/>
          <w:szCs w:val="24"/>
        </w:rPr>
        <w:t xml:space="preserve"> PA PUC Public Meeting agenda</w:t>
      </w:r>
      <w:r w:rsidR="00F468EA">
        <w:rPr>
          <w:sz w:val="24"/>
          <w:szCs w:val="24"/>
        </w:rPr>
        <w:t>.</w:t>
      </w:r>
    </w:p>
    <w:p w:rsidR="00F468EA" w:rsidRPr="004B16D2" w:rsidRDefault="00F468EA" w:rsidP="00F468EA">
      <w:pPr>
        <w:pStyle w:val="ListParagraph"/>
        <w:rPr>
          <w:sz w:val="24"/>
          <w:szCs w:val="24"/>
        </w:rPr>
      </w:pPr>
    </w:p>
    <w:p w:rsidR="00103531" w:rsidRDefault="00F468EA" w:rsidP="00103531">
      <w:pPr>
        <w:pStyle w:val="ListParagraph"/>
        <w:numPr>
          <w:ilvl w:val="0"/>
          <w:numId w:val="23"/>
        </w:numPr>
        <w:autoSpaceDE w:val="0"/>
        <w:autoSpaceDN w:val="0"/>
        <w:adjustRightInd w:val="0"/>
        <w:rPr>
          <w:color w:val="000000" w:themeColor="text1"/>
          <w:sz w:val="24"/>
          <w:szCs w:val="24"/>
        </w:rPr>
      </w:pPr>
      <w:r>
        <w:rPr>
          <w:sz w:val="24"/>
          <w:szCs w:val="24"/>
        </w:rPr>
        <w:t xml:space="preserve">Brandon Siegel </w:t>
      </w:r>
      <w:r w:rsidR="00103531">
        <w:rPr>
          <w:sz w:val="24"/>
          <w:szCs w:val="24"/>
        </w:rPr>
        <w:t>has circulated the EDI contacts list for PA/NJ/MD which was last updated in March 2013.    All parties are asked to review for your company.  Please n</w:t>
      </w:r>
      <w:r w:rsidR="00103531">
        <w:rPr>
          <w:color w:val="000000" w:themeColor="text1"/>
          <w:sz w:val="24"/>
          <w:szCs w:val="24"/>
        </w:rPr>
        <w:t>ote there is only one list for all 3 states so updates only need to be sent one</w:t>
      </w:r>
      <w:r w:rsidR="00103531">
        <w:rPr>
          <w:color w:val="000000" w:themeColor="text1"/>
          <w:sz w:val="24"/>
          <w:szCs w:val="24"/>
        </w:rPr>
        <w:t xml:space="preserve"> time</w:t>
      </w:r>
      <w:r w:rsidR="00103531">
        <w:rPr>
          <w:color w:val="000000" w:themeColor="text1"/>
          <w:sz w:val="24"/>
          <w:szCs w:val="24"/>
        </w:rPr>
        <w:t>.   Suppliers &amp; EDI providers may redline existing list or send updates via email.   All updates should be sent directly to Brandon Siegel.</w:t>
      </w:r>
    </w:p>
    <w:p w:rsidR="0026733D" w:rsidRDefault="0026733D" w:rsidP="00103531">
      <w:pPr>
        <w:pStyle w:val="ListParagraph"/>
        <w:rPr>
          <w:sz w:val="24"/>
          <w:szCs w:val="24"/>
        </w:rPr>
      </w:pPr>
    </w:p>
    <w:p w:rsidR="0063547C" w:rsidRDefault="0063547C" w:rsidP="0063547C">
      <w:pPr>
        <w:rPr>
          <w:sz w:val="24"/>
          <w:szCs w:val="24"/>
        </w:rPr>
      </w:pPr>
    </w:p>
    <w:p w:rsidR="00147226" w:rsidRPr="0063547C" w:rsidRDefault="00147226"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103531">
        <w:rPr>
          <w:sz w:val="24"/>
          <w:szCs w:val="24"/>
        </w:rPr>
        <w:t>May</w:t>
      </w:r>
      <w:r w:rsidR="004E3C8B">
        <w:rPr>
          <w:sz w:val="24"/>
          <w:szCs w:val="24"/>
        </w:rPr>
        <w:t xml:space="preserve"> </w:t>
      </w:r>
      <w:r w:rsidR="00103531">
        <w:rPr>
          <w:sz w:val="24"/>
          <w:szCs w:val="24"/>
        </w:rPr>
        <w:t>7</w:t>
      </w:r>
      <w:r w:rsidR="00103531" w:rsidRPr="00103531">
        <w:rPr>
          <w:sz w:val="24"/>
          <w:szCs w:val="24"/>
          <w:vertAlign w:val="superscript"/>
        </w:rPr>
        <w:t>th</w:t>
      </w:r>
      <w:r w:rsidR="00103531">
        <w:rPr>
          <w:sz w:val="24"/>
          <w:szCs w:val="24"/>
        </w:rPr>
        <w:t xml:space="preserve"> </w:t>
      </w:r>
      <w:bookmarkStart w:id="0" w:name="_GoBack"/>
      <w:bookmarkEnd w:id="0"/>
      <w:r w:rsidR="00F468EA">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698" w:rsidRDefault="009F7698">
      <w:r>
        <w:separator/>
      </w:r>
    </w:p>
  </w:endnote>
  <w:endnote w:type="continuationSeparator" w:id="0">
    <w:p w:rsidR="009F7698" w:rsidRDefault="009F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103531">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698" w:rsidRDefault="009F7698">
      <w:r>
        <w:separator/>
      </w:r>
    </w:p>
  </w:footnote>
  <w:footnote w:type="continuationSeparator" w:id="0">
    <w:p w:rsidR="009F7698" w:rsidRDefault="009F7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8">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6">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9"/>
  </w:num>
  <w:num w:numId="6">
    <w:abstractNumId w:val="2"/>
  </w:num>
  <w:num w:numId="7">
    <w:abstractNumId w:val="7"/>
  </w:num>
  <w:num w:numId="8">
    <w:abstractNumId w:val="13"/>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7"/>
  </w:num>
  <w:num w:numId="14">
    <w:abstractNumId w:val="4"/>
  </w:num>
  <w:num w:numId="15">
    <w:abstractNumId w:val="10"/>
  </w:num>
  <w:num w:numId="16">
    <w:abstractNumId w:val="0"/>
  </w:num>
  <w:num w:numId="17">
    <w:abstractNumId w:val="1"/>
  </w:num>
  <w:num w:numId="18">
    <w:abstractNumId w:val="14"/>
  </w:num>
  <w:num w:numId="19">
    <w:abstractNumId w:val="8"/>
  </w:num>
  <w:num w:numId="20">
    <w:abstractNumId w:val="19"/>
  </w:num>
  <w:num w:numId="21">
    <w:abstractNumId w:val="6"/>
  </w:num>
  <w:num w:numId="22">
    <w:abstractNumId w:val="17"/>
  </w:num>
  <w:num w:numId="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7575"/>
    <w:rsid w:val="000356AD"/>
    <w:rsid w:val="00041AC8"/>
    <w:rsid w:val="000434A8"/>
    <w:rsid w:val="000457D2"/>
    <w:rsid w:val="000458BA"/>
    <w:rsid w:val="00051594"/>
    <w:rsid w:val="00052CC7"/>
    <w:rsid w:val="00054A29"/>
    <w:rsid w:val="00054ECC"/>
    <w:rsid w:val="000552D6"/>
    <w:rsid w:val="000556D0"/>
    <w:rsid w:val="00057227"/>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68EA"/>
    <w:rsid w:val="00F47973"/>
    <w:rsid w:val="00F52559"/>
    <w:rsid w:val="00F54AD4"/>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F1B1D-804C-4485-8F8E-85B81A03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4687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2015-04-07T14:16:00Z</dcterms:created>
  <dcterms:modified xsi:type="dcterms:W3CDTF">2015-04-07T14:16:00Z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