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103A44">
        <w:rPr>
          <w:sz w:val="24"/>
          <w:szCs w:val="24"/>
        </w:rPr>
        <w:t>6/5</w:t>
      </w:r>
      <w:r w:rsidR="00DB7C50">
        <w:rPr>
          <w:sz w:val="24"/>
          <w:szCs w:val="24"/>
        </w:rPr>
        <w:t>/201</w:t>
      </w:r>
      <w:r w:rsidR="00AD34F9">
        <w:rPr>
          <w:sz w:val="24"/>
          <w:szCs w:val="24"/>
        </w:rPr>
        <w:t>4</w:t>
      </w:r>
    </w:p>
    <w:p w:rsidR="0026733D" w:rsidRPr="00242BFB" w:rsidRDefault="0026733D">
      <w:pPr>
        <w:rPr>
          <w:sz w:val="24"/>
          <w:szCs w:val="24"/>
        </w:rPr>
      </w:pPr>
    </w:p>
    <w:p w:rsidR="0026733D" w:rsidRPr="00FD42C3" w:rsidRDefault="0026733D">
      <w:pPr>
        <w:rPr>
          <w:sz w:val="24"/>
          <w:szCs w:val="24"/>
        </w:rPr>
      </w:pPr>
      <w:r w:rsidRPr="00FD42C3">
        <w:rPr>
          <w:b/>
          <w:sz w:val="24"/>
          <w:szCs w:val="24"/>
          <w:u w:val="single"/>
        </w:rPr>
        <w:t>Utilities:</w:t>
      </w:r>
      <w:r w:rsidRPr="00FD42C3">
        <w:rPr>
          <w:sz w:val="24"/>
          <w:szCs w:val="24"/>
          <w:u w:val="single"/>
        </w:rPr>
        <w:t xml:space="preserve"> </w:t>
      </w:r>
      <w:r w:rsidRPr="00FD42C3">
        <w:rPr>
          <w:sz w:val="24"/>
          <w:szCs w:val="24"/>
        </w:rPr>
        <w:t xml:space="preserve">  PECO, </w:t>
      </w:r>
      <w:r w:rsidR="00D87A18">
        <w:rPr>
          <w:sz w:val="24"/>
          <w:szCs w:val="24"/>
        </w:rPr>
        <w:t xml:space="preserve">PPL Electric Utilities, </w:t>
      </w:r>
      <w:r w:rsidR="00CE149D" w:rsidRPr="00FD42C3">
        <w:rPr>
          <w:sz w:val="24"/>
          <w:szCs w:val="24"/>
        </w:rPr>
        <w:t xml:space="preserve">First Energy, </w:t>
      </w:r>
      <w:r w:rsidR="000B28CE">
        <w:rPr>
          <w:sz w:val="24"/>
          <w:szCs w:val="24"/>
        </w:rPr>
        <w:t>UGI</w:t>
      </w:r>
      <w:r w:rsidR="00103A44">
        <w:rPr>
          <w:sz w:val="24"/>
          <w:szCs w:val="24"/>
        </w:rPr>
        <w:t>, Citizens Electric</w:t>
      </w:r>
    </w:p>
    <w:p w:rsidR="0026733D" w:rsidRPr="00FD42C3" w:rsidRDefault="0026733D">
      <w:pPr>
        <w:rPr>
          <w:sz w:val="24"/>
          <w:szCs w:val="24"/>
        </w:rPr>
      </w:pPr>
    </w:p>
    <w:p w:rsidR="0026733D" w:rsidRPr="00FD42C3" w:rsidRDefault="0026733D">
      <w:pPr>
        <w:rPr>
          <w:sz w:val="24"/>
          <w:szCs w:val="24"/>
        </w:rPr>
      </w:pPr>
      <w:r w:rsidRPr="00FD42C3">
        <w:rPr>
          <w:b/>
          <w:sz w:val="24"/>
          <w:szCs w:val="24"/>
          <w:u w:val="single"/>
        </w:rPr>
        <w:t>Suppliers/Service Providers</w:t>
      </w:r>
      <w:r w:rsidRPr="00FD42C3">
        <w:rPr>
          <w:sz w:val="24"/>
          <w:szCs w:val="24"/>
          <w:u w:val="single"/>
        </w:rPr>
        <w:t>:</w:t>
      </w:r>
      <w:r w:rsidRPr="00FD42C3">
        <w:rPr>
          <w:sz w:val="24"/>
          <w:szCs w:val="24"/>
        </w:rPr>
        <w:t xml:space="preserve"> </w:t>
      </w:r>
    </w:p>
    <w:p w:rsidR="000D56BE" w:rsidRDefault="003A58DA">
      <w:pPr>
        <w:rPr>
          <w:sz w:val="24"/>
          <w:szCs w:val="24"/>
        </w:rPr>
      </w:pPr>
      <w:r>
        <w:rPr>
          <w:sz w:val="24"/>
          <w:szCs w:val="24"/>
        </w:rPr>
        <w:t xml:space="preserve">Intelometry, </w:t>
      </w:r>
      <w:r w:rsidR="000B6812" w:rsidRPr="00FD42C3">
        <w:rPr>
          <w:sz w:val="24"/>
          <w:szCs w:val="24"/>
        </w:rPr>
        <w:t>Constellation</w:t>
      </w:r>
      <w:r w:rsidR="000B6812">
        <w:rPr>
          <w:sz w:val="24"/>
          <w:szCs w:val="24"/>
        </w:rPr>
        <w:t xml:space="preserve">, </w:t>
      </w:r>
      <w:r w:rsidR="0026733D" w:rsidRPr="00FD42C3">
        <w:rPr>
          <w:sz w:val="24"/>
          <w:szCs w:val="24"/>
        </w:rPr>
        <w:t xml:space="preserve">UGI Energy Services, </w:t>
      </w:r>
      <w:r w:rsidR="00B04197" w:rsidRPr="00FD42C3">
        <w:rPr>
          <w:sz w:val="24"/>
          <w:szCs w:val="24"/>
        </w:rPr>
        <w:t xml:space="preserve">First Energy Solutions, </w:t>
      </w:r>
      <w:r w:rsidR="000B6812">
        <w:rPr>
          <w:sz w:val="24"/>
          <w:szCs w:val="24"/>
        </w:rPr>
        <w:t>EC Infos</w:t>
      </w:r>
      <w:r w:rsidR="00E96369" w:rsidRPr="00FD42C3">
        <w:rPr>
          <w:sz w:val="24"/>
          <w:szCs w:val="24"/>
        </w:rPr>
        <w:t xml:space="preserve">ystems, </w:t>
      </w:r>
      <w:r w:rsidR="00553A58" w:rsidRPr="00FD42C3">
        <w:rPr>
          <w:sz w:val="24"/>
          <w:szCs w:val="24"/>
        </w:rPr>
        <w:t>Energy Service</w:t>
      </w:r>
      <w:r w:rsidR="006F3D40" w:rsidRPr="00FD42C3">
        <w:rPr>
          <w:sz w:val="24"/>
          <w:szCs w:val="24"/>
        </w:rPr>
        <w:t>s</w:t>
      </w:r>
      <w:r w:rsidR="00F0215E" w:rsidRPr="00FD42C3">
        <w:rPr>
          <w:sz w:val="24"/>
          <w:szCs w:val="24"/>
        </w:rPr>
        <w:t xml:space="preserve"> Group,</w:t>
      </w:r>
      <w:r w:rsidR="00700C38" w:rsidRPr="00FD42C3">
        <w:rPr>
          <w:sz w:val="24"/>
          <w:szCs w:val="24"/>
        </w:rPr>
        <w:t xml:space="preserve"> Systrends</w:t>
      </w:r>
      <w:r w:rsidR="00BC7BBC" w:rsidRPr="00FD42C3">
        <w:rPr>
          <w:sz w:val="24"/>
          <w:szCs w:val="24"/>
        </w:rPr>
        <w:t xml:space="preserve">, </w:t>
      </w:r>
      <w:r w:rsidR="00700C38" w:rsidRPr="00FD42C3">
        <w:rPr>
          <w:sz w:val="24"/>
          <w:szCs w:val="24"/>
        </w:rPr>
        <w:t>Liberty Power</w:t>
      </w:r>
      <w:r w:rsidR="00596F45" w:rsidRPr="00FD42C3">
        <w:rPr>
          <w:sz w:val="24"/>
          <w:szCs w:val="24"/>
        </w:rPr>
        <w:t xml:space="preserve">, </w:t>
      </w:r>
      <w:r w:rsidR="000D56BE">
        <w:rPr>
          <w:sz w:val="24"/>
          <w:szCs w:val="24"/>
        </w:rPr>
        <w:t xml:space="preserve">ista North America, Direct Energy, </w:t>
      </w:r>
      <w:r w:rsidR="00103A44">
        <w:rPr>
          <w:sz w:val="24"/>
          <w:szCs w:val="24"/>
        </w:rPr>
        <w:t>Constellation, Latitude</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103A44">
        <w:rPr>
          <w:sz w:val="24"/>
          <w:szCs w:val="24"/>
        </w:rPr>
        <w:t>None</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103A44" w:rsidRDefault="00103A44" w:rsidP="00103A44">
      <w:pPr>
        <w:pStyle w:val="ListParagraph"/>
        <w:ind w:left="888"/>
      </w:pPr>
      <w:r>
        <w:t>1.</w:t>
      </w:r>
      <w:r>
        <w:tab/>
        <w:t>Roll Call</w:t>
      </w:r>
    </w:p>
    <w:p w:rsidR="00103A44" w:rsidRDefault="00103A44" w:rsidP="00103A44">
      <w:pPr>
        <w:pStyle w:val="ListParagraph"/>
        <w:ind w:left="888"/>
      </w:pPr>
      <w:r>
        <w:t>2.</w:t>
      </w:r>
      <w:r>
        <w:tab/>
        <w:t>Approve May meeting minutes sent to list server on 5/8/2014</w:t>
      </w:r>
    </w:p>
    <w:p w:rsidR="00103A44" w:rsidRDefault="00103A44" w:rsidP="00103A44">
      <w:pPr>
        <w:pStyle w:val="ListParagraph"/>
        <w:ind w:left="888"/>
      </w:pPr>
      <w:r>
        <w:t>3.</w:t>
      </w:r>
      <w:r>
        <w:tab/>
        <w:t xml:space="preserve">EDI Change Control </w:t>
      </w:r>
    </w:p>
    <w:p w:rsidR="00103A44" w:rsidRDefault="00103A44" w:rsidP="00103A44">
      <w:pPr>
        <w:pStyle w:val="ListParagraph"/>
        <w:ind w:left="1440"/>
      </w:pPr>
      <w:r>
        <w:t># 114_Update – 867HU/867HI:  Support for REFPR (LDC Rate Sub-class) - pending implementation date from PPL EU.</w:t>
      </w:r>
    </w:p>
    <w:p w:rsidR="00103A44" w:rsidRDefault="00103A44" w:rsidP="00103A44">
      <w:pPr>
        <w:pStyle w:val="ListParagraph"/>
        <w:ind w:left="888"/>
      </w:pPr>
      <w:r>
        <w:t>4.</w:t>
      </w:r>
      <w:r>
        <w:tab/>
        <w:t>Mid-Cycle/Accelerated Switching – status update</w:t>
      </w:r>
    </w:p>
    <w:p w:rsidR="00103A44" w:rsidRDefault="00103A44" w:rsidP="00103A44">
      <w:pPr>
        <w:pStyle w:val="ListParagraph"/>
        <w:ind w:left="888"/>
      </w:pPr>
      <w:r>
        <w:t>5.</w:t>
      </w:r>
      <w:r>
        <w:tab/>
        <w:t xml:space="preserve">Web Portal Working Group – status update </w:t>
      </w:r>
    </w:p>
    <w:p w:rsidR="00103A44" w:rsidRDefault="00103A44" w:rsidP="00103A44">
      <w:pPr>
        <w:pStyle w:val="ListParagraph"/>
        <w:ind w:left="888"/>
      </w:pPr>
      <w:r>
        <w:t>6.</w:t>
      </w:r>
      <w:r>
        <w:tab/>
        <w:t>Seamless Move / Instant Connect – status update</w:t>
      </w:r>
    </w:p>
    <w:p w:rsidR="00103A44" w:rsidRDefault="00103A44" w:rsidP="00103A44">
      <w:pPr>
        <w:pStyle w:val="ListParagraph"/>
        <w:ind w:left="888"/>
      </w:pPr>
      <w:r>
        <w:t>7.</w:t>
      </w:r>
      <w:r>
        <w:tab/>
        <w:t>Account Number Look Up – status update</w:t>
      </w:r>
    </w:p>
    <w:p w:rsidR="00103A44" w:rsidRDefault="00103A44" w:rsidP="00103A44">
      <w:pPr>
        <w:pStyle w:val="ListParagraph"/>
        <w:ind w:left="888"/>
      </w:pPr>
      <w:r>
        <w:t>8.</w:t>
      </w:r>
      <w:r>
        <w:tab/>
        <w:t>New Business</w:t>
      </w:r>
    </w:p>
    <w:p w:rsidR="000D56BE" w:rsidRPr="00FD42C3" w:rsidRDefault="00103A44" w:rsidP="00103A44">
      <w:pPr>
        <w:pStyle w:val="ListParagraph"/>
        <w:ind w:left="888"/>
        <w:rPr>
          <w:sz w:val="24"/>
          <w:szCs w:val="24"/>
        </w:rPr>
      </w:pPr>
      <w:r>
        <w:t>9.</w:t>
      </w:r>
      <w:r>
        <w:tab/>
        <w:t>Next Meeting</w:t>
      </w: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103A44">
        <w:rPr>
          <w:sz w:val="24"/>
          <w:szCs w:val="24"/>
        </w:rPr>
        <w:t xml:space="preserve"> and</w:t>
      </w:r>
      <w:r w:rsidR="0035171E" w:rsidRPr="00FD42C3">
        <w:rPr>
          <w:sz w:val="24"/>
          <w:szCs w:val="24"/>
        </w:rPr>
        <w:t xml:space="preserve"> facilitated the meeting.  </w:t>
      </w:r>
      <w:r w:rsidR="0026733D" w:rsidRPr="00FD42C3">
        <w:rPr>
          <w:color w:val="000000"/>
          <w:sz w:val="24"/>
          <w:szCs w:val="24"/>
        </w:rPr>
        <w:t xml:space="preserve">Other </w:t>
      </w:r>
      <w:r w:rsidR="0026733D" w:rsidRPr="00FD42C3">
        <w:rPr>
          <w:sz w:val="24"/>
          <w:szCs w:val="24"/>
        </w:rPr>
        <w:t xml:space="preserve">EDEWG leadership present: </w:t>
      </w:r>
      <w:r w:rsidR="00103A44">
        <w:rPr>
          <w:sz w:val="24"/>
          <w:szCs w:val="24"/>
        </w:rPr>
        <w:t>Sue Scheetz (PPLEU)</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103A44">
        <w:rPr>
          <w:b w:val="0"/>
          <w:color w:val="000000"/>
          <w:szCs w:val="24"/>
        </w:rPr>
        <w:t>May</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AB260E" w:rsidRPr="0001137E" w:rsidRDefault="00AB260E" w:rsidP="002E78F0">
      <w:pPr>
        <w:rPr>
          <w:sz w:val="24"/>
          <w:szCs w:val="24"/>
        </w:rPr>
      </w:pPr>
    </w:p>
    <w:p w:rsidR="005565F4" w:rsidRDefault="005565F4" w:rsidP="00E3353D">
      <w:pPr>
        <w:pStyle w:val="Heading2"/>
        <w:numPr>
          <w:ilvl w:val="1"/>
          <w:numId w:val="1"/>
        </w:numPr>
        <w:ind w:left="360"/>
        <w:rPr>
          <w:szCs w:val="24"/>
        </w:rPr>
      </w:pPr>
      <w:r>
        <w:rPr>
          <w:szCs w:val="24"/>
        </w:rPr>
        <w:t>EDI Change Control</w:t>
      </w:r>
    </w:p>
    <w:p w:rsidR="005565F4" w:rsidRDefault="005565F4" w:rsidP="005565F4">
      <w:pPr>
        <w:pStyle w:val="Heading2"/>
        <w:numPr>
          <w:ilvl w:val="2"/>
          <w:numId w:val="1"/>
        </w:numPr>
        <w:tabs>
          <w:tab w:val="clear" w:pos="1416"/>
          <w:tab w:val="num" w:pos="720"/>
        </w:tabs>
        <w:ind w:left="720"/>
        <w:rPr>
          <w:szCs w:val="24"/>
        </w:rPr>
      </w:pPr>
      <w:r w:rsidRPr="00DB429E">
        <w:rPr>
          <w:szCs w:val="24"/>
        </w:rPr>
        <w:t>EDI CC 114</w:t>
      </w:r>
      <w:r>
        <w:rPr>
          <w:szCs w:val="24"/>
        </w:rPr>
        <w:t>_Update</w:t>
      </w:r>
      <w:r w:rsidRPr="00DB429E">
        <w:rPr>
          <w:szCs w:val="24"/>
        </w:rPr>
        <w:t xml:space="preserve"> – add REFPR (LDC Rate Sub-class) to EDI 867HU &amp; 867HI</w:t>
      </w:r>
    </w:p>
    <w:p w:rsidR="005565F4" w:rsidRDefault="00840548" w:rsidP="005565F4">
      <w:pPr>
        <w:pStyle w:val="Heading2"/>
        <w:ind w:left="360"/>
        <w:rPr>
          <w:b w:val="0"/>
          <w:szCs w:val="24"/>
        </w:rPr>
      </w:pPr>
      <w:r>
        <w:rPr>
          <w:b w:val="0"/>
          <w:szCs w:val="24"/>
        </w:rPr>
        <w:t xml:space="preserve">In early March </w:t>
      </w:r>
      <w:r w:rsidR="005565F4">
        <w:rPr>
          <w:b w:val="0"/>
          <w:szCs w:val="24"/>
        </w:rPr>
        <w:t xml:space="preserve">Brandon Siegel updated </w:t>
      </w:r>
      <w:r w:rsidR="003D3AC3">
        <w:rPr>
          <w:b w:val="0"/>
          <w:szCs w:val="24"/>
        </w:rPr>
        <w:t xml:space="preserve">previously approved </w:t>
      </w:r>
      <w:r w:rsidR="005565F4">
        <w:rPr>
          <w:b w:val="0"/>
          <w:szCs w:val="24"/>
        </w:rPr>
        <w:t xml:space="preserve">EDI CC </w:t>
      </w:r>
      <w:r w:rsidR="003D3AC3">
        <w:rPr>
          <w:b w:val="0"/>
          <w:szCs w:val="24"/>
        </w:rPr>
        <w:t>114 adding PPL to the list of applicable EDCs.   PPL currently sends the REFPR (LDC Rate Sub-class) in the EDI 814 Enrollment response.   PPL was asked to provide an estimated implementat</w:t>
      </w:r>
      <w:r>
        <w:rPr>
          <w:b w:val="0"/>
          <w:szCs w:val="24"/>
        </w:rPr>
        <w:t xml:space="preserve">ion date during the May </w:t>
      </w:r>
      <w:r w:rsidR="00103A44">
        <w:rPr>
          <w:b w:val="0"/>
          <w:szCs w:val="24"/>
        </w:rPr>
        <w:t xml:space="preserve">&amp; June </w:t>
      </w:r>
      <w:r>
        <w:rPr>
          <w:b w:val="0"/>
          <w:szCs w:val="24"/>
        </w:rPr>
        <w:t>meeting</w:t>
      </w:r>
      <w:r w:rsidR="00103A44">
        <w:rPr>
          <w:b w:val="0"/>
          <w:szCs w:val="24"/>
        </w:rPr>
        <w:t>s</w:t>
      </w:r>
      <w:r>
        <w:rPr>
          <w:b w:val="0"/>
          <w:szCs w:val="24"/>
        </w:rPr>
        <w:t xml:space="preserve"> but </w:t>
      </w:r>
      <w:r w:rsidR="00103A44">
        <w:rPr>
          <w:b w:val="0"/>
          <w:szCs w:val="24"/>
        </w:rPr>
        <w:t>as been</w:t>
      </w:r>
      <w:r>
        <w:rPr>
          <w:b w:val="0"/>
          <w:szCs w:val="24"/>
        </w:rPr>
        <w:t xml:space="preserve"> unable to do so.   Remains open in hopes PPL will provide date during Ju</w:t>
      </w:r>
      <w:r w:rsidR="00103A44">
        <w:rPr>
          <w:b w:val="0"/>
          <w:szCs w:val="24"/>
        </w:rPr>
        <w:t>ly</w:t>
      </w:r>
      <w:r>
        <w:rPr>
          <w:b w:val="0"/>
          <w:szCs w:val="24"/>
        </w:rPr>
        <w:t xml:space="preserve"> meeting</w:t>
      </w:r>
      <w:r w:rsidR="00103A44">
        <w:rPr>
          <w:b w:val="0"/>
          <w:szCs w:val="24"/>
        </w:rPr>
        <w:t>…please.</w:t>
      </w:r>
      <w:r w:rsidR="003D3AC3">
        <w:rPr>
          <w:b w:val="0"/>
          <w:szCs w:val="24"/>
        </w:rPr>
        <w:t xml:space="preserve"> </w:t>
      </w:r>
    </w:p>
    <w:p w:rsidR="003D3AC3" w:rsidRPr="003D3AC3" w:rsidRDefault="003D3AC3" w:rsidP="003D3AC3"/>
    <w:p w:rsidR="005565F4" w:rsidRDefault="005565F4" w:rsidP="005565F4"/>
    <w:p w:rsidR="00C74179" w:rsidRPr="005565F4" w:rsidRDefault="00C74179" w:rsidP="005565F4"/>
    <w:p w:rsidR="00840548" w:rsidRDefault="00840548" w:rsidP="00E3353D">
      <w:pPr>
        <w:rPr>
          <w:sz w:val="24"/>
          <w:szCs w:val="24"/>
        </w:rPr>
      </w:pPr>
    </w:p>
    <w:p w:rsidR="00C74179" w:rsidRDefault="00C74179" w:rsidP="00E3353D">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C74179" w:rsidRDefault="00103A44" w:rsidP="00C74179">
      <w:pPr>
        <w:rPr>
          <w:sz w:val="24"/>
          <w:szCs w:val="24"/>
        </w:rPr>
      </w:pPr>
      <w:r w:rsidRPr="00103A44">
        <w:rPr>
          <w:sz w:val="24"/>
          <w:szCs w:val="24"/>
        </w:rPr>
        <w:t xml:space="preserve">The </w:t>
      </w:r>
      <w:r>
        <w:rPr>
          <w:sz w:val="24"/>
          <w:szCs w:val="24"/>
        </w:rPr>
        <w:t>EDCs have been meeting on Friday’s via teleconference to discuss transaction timelines and other business rules relative to implementing the accelerated switch order.   EDEWG will con</w:t>
      </w:r>
      <w:r w:rsidR="00B07EC8">
        <w:rPr>
          <w:sz w:val="24"/>
          <w:szCs w:val="24"/>
        </w:rPr>
        <w:t>tinue to monitor activities and assist should the need arise to do so.</w:t>
      </w:r>
    </w:p>
    <w:p w:rsidR="002E78F0" w:rsidRDefault="002E78F0" w:rsidP="00E3353D">
      <w:pPr>
        <w:rPr>
          <w:sz w:val="24"/>
          <w:szCs w:val="24"/>
        </w:rPr>
      </w:pPr>
    </w:p>
    <w:p w:rsidR="00C74179" w:rsidRPr="00E3353D" w:rsidRDefault="00C74179"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C74179" w:rsidRDefault="00B07EC8" w:rsidP="004D3E96">
      <w:pPr>
        <w:rPr>
          <w:sz w:val="24"/>
          <w:szCs w:val="24"/>
        </w:rPr>
      </w:pPr>
      <w:r>
        <w:rPr>
          <w:sz w:val="24"/>
          <w:szCs w:val="24"/>
        </w:rPr>
        <w:t>Joe Bisti (PECO)</w:t>
      </w:r>
      <w:r w:rsidR="00E77A3F">
        <w:rPr>
          <w:sz w:val="24"/>
          <w:szCs w:val="24"/>
        </w:rPr>
        <w:t xml:space="preserve"> </w:t>
      </w:r>
      <w:r w:rsidR="003755D2">
        <w:rPr>
          <w:sz w:val="24"/>
          <w:szCs w:val="24"/>
        </w:rPr>
        <w:t>briefed the EDEWG on the current status of the WPWG</w:t>
      </w:r>
      <w:r w:rsidR="004D3E96">
        <w:rPr>
          <w:sz w:val="24"/>
          <w:szCs w:val="24"/>
        </w:rPr>
        <w:t>.</w:t>
      </w:r>
      <w:r w:rsidR="003755D2">
        <w:rPr>
          <w:sz w:val="24"/>
          <w:szCs w:val="24"/>
        </w:rPr>
        <w:t xml:space="preserve">   The group </w:t>
      </w:r>
      <w:r>
        <w:rPr>
          <w:sz w:val="24"/>
          <w:szCs w:val="24"/>
        </w:rPr>
        <w:t>held an in person meeting on 5/21 and teleconference on 6/4 continuing to make excellent progress.   Updated to the solution framework document continue and a draft file format has been developed by the group.</w:t>
      </w:r>
      <w:r w:rsidR="00C74179">
        <w:rPr>
          <w:sz w:val="24"/>
          <w:szCs w:val="24"/>
        </w:rPr>
        <w:t xml:space="preserve"> </w:t>
      </w:r>
      <w:r w:rsidR="002E78F0">
        <w:rPr>
          <w:sz w:val="24"/>
          <w:szCs w:val="24"/>
        </w:rPr>
        <w:t xml:space="preserve">The WPWG continues </w:t>
      </w:r>
      <w:r w:rsidR="00A14125">
        <w:rPr>
          <w:sz w:val="24"/>
          <w:szCs w:val="24"/>
        </w:rPr>
        <w:t>regular meetings</w:t>
      </w:r>
      <w:r>
        <w:rPr>
          <w:sz w:val="24"/>
          <w:szCs w:val="24"/>
        </w:rPr>
        <w:t>.   Monitor the EDEWG list server for future meetings and updated documentation.</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Seamless Move / Instant Connection Update</w:t>
      </w:r>
    </w:p>
    <w:p w:rsidR="00476CF2" w:rsidRDefault="00476CF2" w:rsidP="00476CF2">
      <w:pPr>
        <w:rPr>
          <w:sz w:val="24"/>
          <w:szCs w:val="24"/>
        </w:rPr>
      </w:pPr>
      <w:r w:rsidRPr="00476CF2">
        <w:rPr>
          <w:sz w:val="24"/>
          <w:szCs w:val="24"/>
        </w:rPr>
        <w:t>Each EDC filed their plans with the Commission in December 2013.   These are pending fur</w:t>
      </w:r>
      <w:r w:rsidR="004B5115">
        <w:rPr>
          <w:sz w:val="24"/>
          <w:szCs w:val="24"/>
        </w:rPr>
        <w:t>ther direction by the Commission</w:t>
      </w:r>
      <w:r w:rsidR="002C44A3">
        <w:rPr>
          <w:sz w:val="24"/>
          <w:szCs w:val="24"/>
        </w:rPr>
        <w:t xml:space="preserve">.  </w:t>
      </w:r>
      <w:r w:rsidR="00B07EC8">
        <w:rPr>
          <w:sz w:val="24"/>
          <w:szCs w:val="24"/>
        </w:rPr>
        <w:t>No update during June meeting.</w:t>
      </w:r>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B5115" w:rsidRDefault="00B07EC8" w:rsidP="00B07EC8">
      <w:pPr>
        <w:pStyle w:val="ListParagraph"/>
        <w:numPr>
          <w:ilvl w:val="0"/>
          <w:numId w:val="9"/>
        </w:numPr>
        <w:rPr>
          <w:sz w:val="24"/>
          <w:szCs w:val="24"/>
        </w:rPr>
      </w:pPr>
      <w:r w:rsidRPr="00B07EC8">
        <w:rPr>
          <w:sz w:val="24"/>
          <w:szCs w:val="24"/>
        </w:rPr>
        <w:t>PPL</w:t>
      </w:r>
      <w:r>
        <w:rPr>
          <w:sz w:val="24"/>
          <w:szCs w:val="24"/>
        </w:rPr>
        <w:t xml:space="preserve"> received PUC approval.   Targets go live the week of June 9</w:t>
      </w:r>
      <w:r w:rsidRPr="00B07EC8">
        <w:rPr>
          <w:sz w:val="24"/>
          <w:szCs w:val="24"/>
          <w:vertAlign w:val="superscript"/>
        </w:rPr>
        <w:t>th</w:t>
      </w:r>
      <w:r>
        <w:rPr>
          <w:sz w:val="24"/>
          <w:szCs w:val="24"/>
        </w:rPr>
        <w:t>.</w:t>
      </w:r>
    </w:p>
    <w:p w:rsidR="00B07EC8" w:rsidRDefault="00B07EC8" w:rsidP="00B07EC8">
      <w:pPr>
        <w:pStyle w:val="ListParagraph"/>
        <w:numPr>
          <w:ilvl w:val="0"/>
          <w:numId w:val="9"/>
        </w:numPr>
        <w:rPr>
          <w:sz w:val="24"/>
          <w:szCs w:val="24"/>
        </w:rPr>
      </w:pPr>
      <w:r>
        <w:rPr>
          <w:sz w:val="24"/>
          <w:szCs w:val="24"/>
        </w:rPr>
        <w:t>PECO received PUC approval.  Implemented mid-May</w:t>
      </w:r>
    </w:p>
    <w:p w:rsidR="00B07EC8" w:rsidRDefault="00B07EC8" w:rsidP="00B07EC8">
      <w:pPr>
        <w:pStyle w:val="ListParagraph"/>
        <w:numPr>
          <w:ilvl w:val="0"/>
          <w:numId w:val="9"/>
        </w:numPr>
        <w:rPr>
          <w:sz w:val="24"/>
          <w:szCs w:val="24"/>
        </w:rPr>
      </w:pPr>
      <w:r>
        <w:rPr>
          <w:sz w:val="24"/>
          <w:szCs w:val="24"/>
        </w:rPr>
        <w:t>FE – no update</w:t>
      </w:r>
    </w:p>
    <w:p w:rsidR="00B07EC8" w:rsidRPr="00B07EC8" w:rsidRDefault="00B07EC8" w:rsidP="00B07EC8">
      <w:pPr>
        <w:pStyle w:val="ListParagraph"/>
        <w:numPr>
          <w:ilvl w:val="0"/>
          <w:numId w:val="9"/>
        </w:numPr>
        <w:rPr>
          <w:sz w:val="24"/>
          <w:szCs w:val="24"/>
        </w:rPr>
      </w:pPr>
      <w:r>
        <w:rPr>
          <w:sz w:val="24"/>
          <w:szCs w:val="24"/>
        </w:rPr>
        <w:t>DLCO – (provided update after call) received PUC approval.  IT currently in work.</w:t>
      </w:r>
    </w:p>
    <w:p w:rsidR="00476CF2" w:rsidRDefault="00476CF2" w:rsidP="00476CF2">
      <w:pPr>
        <w:rPr>
          <w:sz w:val="24"/>
          <w:szCs w:val="24"/>
        </w:rPr>
      </w:pPr>
    </w:p>
    <w:p w:rsidR="004B5115" w:rsidRDefault="004B5115" w:rsidP="00476CF2">
      <w:pPr>
        <w:rPr>
          <w:sz w:val="24"/>
          <w:szCs w:val="24"/>
        </w:rPr>
      </w:pPr>
    </w:p>
    <w:p w:rsidR="002129E2" w:rsidRDefault="002129E2" w:rsidP="00572A6B">
      <w:pPr>
        <w:pStyle w:val="Heading2"/>
        <w:numPr>
          <w:ilvl w:val="1"/>
          <w:numId w:val="1"/>
        </w:numPr>
        <w:ind w:left="360"/>
        <w:rPr>
          <w:szCs w:val="24"/>
        </w:rPr>
      </w:pPr>
      <w:r>
        <w:rPr>
          <w:szCs w:val="24"/>
        </w:rPr>
        <w:t>New Business</w:t>
      </w:r>
    </w:p>
    <w:p w:rsidR="00DE7FD8" w:rsidRDefault="00B07EC8" w:rsidP="00F1305D">
      <w:pPr>
        <w:rPr>
          <w:sz w:val="24"/>
          <w:szCs w:val="24"/>
        </w:rPr>
      </w:pPr>
      <w:r>
        <w:rPr>
          <w:sz w:val="24"/>
          <w:szCs w:val="24"/>
        </w:rPr>
        <w:t xml:space="preserve">Kim Wall (PPL Solutions) brought forth an issue relative to </w:t>
      </w:r>
      <w:r w:rsidR="003F205F">
        <w:rPr>
          <w:sz w:val="24"/>
          <w:szCs w:val="24"/>
        </w:rPr>
        <w:t>First Energy who is incorrectly reporting ‘ignore’ meetings in the meter (PM) and meter summary (SU) loops of the EDI 867 Monthly Usage transaction.   The problem resides with the ‘ignore’ meter not having the correct meter role (REFJH = I) as well as the KH being summed to the SU loop.   PPL Solutions stated they were unable to obtain resolution through direct communication with First Energy.  Ernie Mathie (First Energy) stated they would look more into the issue.   This item remains open and will be revisited during the July meeting.</w:t>
      </w:r>
    </w:p>
    <w:p w:rsidR="003F205F" w:rsidRDefault="003F205F" w:rsidP="00F1305D">
      <w:pPr>
        <w:rPr>
          <w:sz w:val="24"/>
          <w:szCs w:val="24"/>
        </w:rPr>
      </w:pPr>
    </w:p>
    <w:p w:rsidR="003F205F" w:rsidRDefault="003F205F" w:rsidP="00F1305D">
      <w:pPr>
        <w:rPr>
          <w:sz w:val="24"/>
          <w:szCs w:val="24"/>
        </w:rPr>
      </w:pPr>
      <w:r>
        <w:rPr>
          <w:sz w:val="24"/>
          <w:szCs w:val="24"/>
        </w:rPr>
        <w:t>Energy Services Group requested an update on the Duquesne Light Company’s FOCUS project.   Duquesne was not present on the call but did follow up with Brandon after the meeting.   LaMont reported they have uploaded all documentation to their supplier website also noting weekly supplier teleconferences will begin on July 10</w:t>
      </w:r>
      <w:r w:rsidRPr="003F205F">
        <w:rPr>
          <w:sz w:val="24"/>
          <w:szCs w:val="24"/>
          <w:vertAlign w:val="superscript"/>
        </w:rPr>
        <w:t>th</w:t>
      </w:r>
      <w:r>
        <w:rPr>
          <w:sz w:val="24"/>
          <w:szCs w:val="24"/>
        </w:rPr>
        <w:t>.</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AB6637">
        <w:rPr>
          <w:sz w:val="24"/>
          <w:szCs w:val="24"/>
        </w:rPr>
        <w:t>Ju</w:t>
      </w:r>
      <w:r w:rsidR="003F205F">
        <w:rPr>
          <w:sz w:val="24"/>
          <w:szCs w:val="24"/>
        </w:rPr>
        <w:t>ly</w:t>
      </w:r>
      <w:r w:rsidR="00AB6637">
        <w:rPr>
          <w:sz w:val="24"/>
          <w:szCs w:val="24"/>
        </w:rPr>
        <w:t xml:space="preserve"> </w:t>
      </w:r>
      <w:r w:rsidR="003F205F">
        <w:rPr>
          <w:sz w:val="24"/>
          <w:szCs w:val="24"/>
        </w:rPr>
        <w:t>10</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F63B64">
        <w:rPr>
          <w:sz w:val="24"/>
          <w:szCs w:val="24"/>
        </w:rPr>
        <w:t xml:space="preserve">Please </w:t>
      </w:r>
      <w:r w:rsidR="00EB797A" w:rsidRPr="00FD42C3">
        <w:rPr>
          <w:sz w:val="24"/>
          <w:szCs w:val="24"/>
        </w:rPr>
        <w:t xml:space="preserve">send agenda items to Brandon Siegel </w:t>
      </w:r>
      <w:r w:rsidR="0025019D">
        <w:rPr>
          <w:sz w:val="24"/>
          <w:szCs w:val="24"/>
        </w:rPr>
        <w:t>(</w:t>
      </w:r>
      <w:hyperlink r:id="rId10" w:history="1">
        <w:r w:rsidR="0025019D" w:rsidRPr="00344EF0">
          <w:rPr>
            <w:rStyle w:val="Hyperlink"/>
            <w:sz w:val="24"/>
            <w:szCs w:val="24"/>
          </w:rPr>
          <w:t>brandon.siegel@intelometry.com</w:t>
        </w:r>
      </w:hyperlink>
      <w:r w:rsidR="0025019D">
        <w:rPr>
          <w:sz w:val="24"/>
          <w:szCs w:val="24"/>
        </w:rPr>
        <w:t xml:space="preserve">) </w:t>
      </w:r>
      <w:r w:rsidR="00EB797A" w:rsidRPr="00FD42C3">
        <w:rPr>
          <w:sz w:val="24"/>
          <w:szCs w:val="24"/>
        </w:rPr>
        <w:t xml:space="preserve">no later than close of business on </w:t>
      </w:r>
      <w:r w:rsidR="00AB6637">
        <w:rPr>
          <w:sz w:val="24"/>
          <w:szCs w:val="24"/>
        </w:rPr>
        <w:t>Thursday</w:t>
      </w:r>
      <w:r w:rsidR="004640D5">
        <w:rPr>
          <w:sz w:val="24"/>
          <w:szCs w:val="24"/>
        </w:rPr>
        <w:t xml:space="preserve">, </w:t>
      </w:r>
      <w:r w:rsidR="003F205F">
        <w:rPr>
          <w:sz w:val="24"/>
          <w:szCs w:val="24"/>
        </w:rPr>
        <w:t>July 3rd</w:t>
      </w:r>
      <w:bookmarkStart w:id="0" w:name="_GoBack"/>
      <w:bookmarkEnd w:id="0"/>
      <w:r w:rsidR="00F63B64">
        <w:rPr>
          <w:sz w:val="24"/>
          <w:szCs w:val="24"/>
        </w:rPr>
        <w:t>, 2014</w:t>
      </w:r>
      <w:r>
        <w:rPr>
          <w:sz w:val="24"/>
          <w:szCs w:val="24"/>
        </w:rPr>
        <w:t>.</w:t>
      </w:r>
    </w:p>
    <w:p w:rsidR="00F63B64" w:rsidRDefault="00F63B64"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0C" w:rsidRDefault="003F6B0C">
      <w:r>
        <w:separator/>
      </w:r>
    </w:p>
  </w:endnote>
  <w:endnote w:type="continuationSeparator" w:id="0">
    <w:p w:rsidR="003F6B0C" w:rsidRDefault="003F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3F205F">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0C" w:rsidRDefault="003F6B0C">
      <w:r>
        <w:separator/>
      </w:r>
    </w:p>
  </w:footnote>
  <w:footnote w:type="continuationSeparator" w:id="0">
    <w:p w:rsidR="003F6B0C" w:rsidRDefault="003F6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7">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 w:numId="7">
    <w:abstractNumId w:val="2"/>
  </w:num>
  <w:num w:numId="8">
    <w:abstractNumId w:val="5"/>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5537"/>
    <w:rsid w:val="00C15966"/>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4179"/>
    <w:rsid w:val="00C76CDA"/>
    <w:rsid w:val="00C770E9"/>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randon.siegel@intelometry.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9B07-CC93-4260-B0CF-CA2953D3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4142</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2014-06-09T13:12:00Z</dcterms:created>
  <dcterms:modified xsi:type="dcterms:W3CDTF">2014-06-09T13:12:00Z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