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9E" w:rsidRDefault="004D3F8D">
      <w:r>
        <w:rPr>
          <w:noProof/>
        </w:rPr>
        <w:drawing>
          <wp:inline distT="0" distB="0" distL="0" distR="0">
            <wp:extent cx="513397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33975" cy="108585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9576"/>
      </w:tblGrid>
      <w:tr w:rsidR="0021146E" w:rsidTr="00D27F9E">
        <w:tc>
          <w:tcPr>
            <w:tcW w:w="9576" w:type="dxa"/>
          </w:tcPr>
          <w:p w:rsidR="00221ABF" w:rsidRDefault="006739E1" w:rsidP="00881957">
            <w:pPr>
              <w:jc w:val="center"/>
              <w:rPr>
                <w:rFonts w:ascii="Arial Black" w:hAnsi="Arial Black"/>
                <w:bCs/>
                <w:sz w:val="40"/>
              </w:rPr>
            </w:pPr>
            <w:r>
              <w:rPr>
                <w:rFonts w:ascii="Arial Black" w:hAnsi="Arial Black"/>
                <w:bCs/>
                <w:sz w:val="40"/>
              </w:rPr>
              <w:t>Web Portal Working Group</w:t>
            </w:r>
          </w:p>
          <w:p w:rsidR="006739E1" w:rsidRDefault="003633F9" w:rsidP="00881957">
            <w:pPr>
              <w:jc w:val="center"/>
              <w:rPr>
                <w:rFonts w:ascii="Arial Black" w:hAnsi="Arial Black"/>
                <w:bCs/>
                <w:sz w:val="40"/>
              </w:rPr>
            </w:pPr>
            <w:r>
              <w:rPr>
                <w:rFonts w:ascii="Arial Black" w:hAnsi="Arial Black"/>
                <w:bCs/>
                <w:sz w:val="40"/>
              </w:rPr>
              <w:t>RECAP</w:t>
            </w:r>
          </w:p>
          <w:p w:rsidR="001978CC" w:rsidRPr="00EC3994" w:rsidRDefault="00CF12B3" w:rsidP="00CF12B3">
            <w:pPr>
              <w:jc w:val="center"/>
              <w:rPr>
                <w:rFonts w:ascii="Arial Black" w:hAnsi="Arial Black"/>
                <w:bCs/>
                <w:sz w:val="40"/>
              </w:rPr>
            </w:pPr>
            <w:r>
              <w:rPr>
                <w:rFonts w:ascii="Arial Black" w:hAnsi="Arial Black"/>
                <w:bCs/>
                <w:sz w:val="40"/>
              </w:rPr>
              <w:t>2</w:t>
            </w:r>
            <w:r w:rsidR="005B5103">
              <w:rPr>
                <w:rFonts w:ascii="Arial Black" w:hAnsi="Arial Black"/>
                <w:bCs/>
                <w:sz w:val="40"/>
              </w:rPr>
              <w:t>/</w:t>
            </w:r>
            <w:r>
              <w:rPr>
                <w:rFonts w:ascii="Arial Black" w:hAnsi="Arial Black"/>
                <w:bCs/>
                <w:sz w:val="40"/>
              </w:rPr>
              <w:t>5</w:t>
            </w:r>
            <w:r w:rsidR="005B5103">
              <w:rPr>
                <w:rFonts w:ascii="Arial Black" w:hAnsi="Arial Black"/>
                <w:bCs/>
                <w:sz w:val="40"/>
              </w:rPr>
              <w:t>/2014</w:t>
            </w:r>
            <w:r w:rsidR="000F7B86">
              <w:rPr>
                <w:rFonts w:ascii="Arial Black" w:hAnsi="Arial Black"/>
                <w:bCs/>
                <w:sz w:val="40"/>
              </w:rPr>
              <w:t xml:space="preserve"> – 2:30</w:t>
            </w:r>
            <w:r w:rsidR="003371C0">
              <w:rPr>
                <w:rFonts w:ascii="Arial Black" w:hAnsi="Arial Black"/>
                <w:bCs/>
                <w:sz w:val="40"/>
              </w:rPr>
              <w:t xml:space="preserve"> p.m. (EST)</w:t>
            </w:r>
          </w:p>
        </w:tc>
      </w:tr>
    </w:tbl>
    <w:p w:rsidR="006A67E9" w:rsidRDefault="006A67E9" w:rsidP="001978CC">
      <w:pPr>
        <w:pStyle w:val="Heading1"/>
      </w:pPr>
    </w:p>
    <w:p w:rsidR="003371C0" w:rsidRPr="003371C0" w:rsidRDefault="003371C0" w:rsidP="003371C0">
      <w:pPr>
        <w:ind w:left="720"/>
        <w:rPr>
          <w:rFonts w:ascii="Arial" w:hAnsi="Arial" w:cs="Arial"/>
          <w:sz w:val="32"/>
          <w:szCs w:val="32"/>
        </w:rPr>
      </w:pPr>
      <w:r w:rsidRPr="003371C0">
        <w:rPr>
          <w:rFonts w:ascii="Arial" w:hAnsi="Arial" w:cs="Arial"/>
          <w:sz w:val="32"/>
          <w:szCs w:val="32"/>
        </w:rPr>
        <w:t>Conference Bridge:</w:t>
      </w:r>
    </w:p>
    <w:p w:rsidR="003371C0" w:rsidRPr="003371C0" w:rsidRDefault="003371C0" w:rsidP="003371C0">
      <w:pPr>
        <w:ind w:left="720"/>
        <w:rPr>
          <w:rFonts w:ascii="Arial" w:hAnsi="Arial" w:cs="Arial"/>
          <w:sz w:val="32"/>
          <w:szCs w:val="32"/>
        </w:rPr>
      </w:pPr>
      <w:r w:rsidRPr="003371C0">
        <w:rPr>
          <w:rFonts w:ascii="Arial" w:hAnsi="Arial" w:cs="Arial"/>
          <w:sz w:val="32"/>
          <w:szCs w:val="32"/>
        </w:rPr>
        <w:t>888-238-2971</w:t>
      </w:r>
    </w:p>
    <w:p w:rsidR="003371C0" w:rsidRPr="003371C0" w:rsidRDefault="003371C0" w:rsidP="003371C0">
      <w:pPr>
        <w:ind w:left="720"/>
        <w:rPr>
          <w:rFonts w:ascii="Arial" w:hAnsi="Arial" w:cs="Arial"/>
          <w:sz w:val="32"/>
          <w:szCs w:val="32"/>
        </w:rPr>
      </w:pPr>
      <w:r w:rsidRPr="003371C0">
        <w:rPr>
          <w:rFonts w:ascii="Arial" w:hAnsi="Arial" w:cs="Arial"/>
          <w:sz w:val="32"/>
          <w:szCs w:val="32"/>
        </w:rPr>
        <w:t>Access Code: 2203616</w:t>
      </w:r>
    </w:p>
    <w:p w:rsidR="003371C0" w:rsidRPr="003371C0" w:rsidRDefault="003371C0" w:rsidP="003371C0">
      <w:pPr>
        <w:ind w:left="720"/>
        <w:rPr>
          <w:rFonts w:ascii="Arial" w:hAnsi="Arial" w:cs="Arial"/>
          <w:sz w:val="32"/>
          <w:szCs w:val="32"/>
        </w:rPr>
      </w:pPr>
    </w:p>
    <w:p w:rsidR="00C234BB" w:rsidRDefault="00C234BB" w:rsidP="005715A5">
      <w:pPr>
        <w:numPr>
          <w:ilvl w:val="0"/>
          <w:numId w:val="1"/>
        </w:numPr>
        <w:rPr>
          <w:rFonts w:ascii="Arial" w:hAnsi="Arial" w:cs="Arial"/>
          <w:sz w:val="32"/>
          <w:szCs w:val="32"/>
        </w:rPr>
      </w:pPr>
      <w:r>
        <w:rPr>
          <w:rFonts w:ascii="Arial" w:hAnsi="Arial" w:cs="Arial"/>
          <w:sz w:val="32"/>
          <w:szCs w:val="32"/>
        </w:rPr>
        <w:t>Roll Call</w:t>
      </w:r>
    </w:p>
    <w:p w:rsidR="005B5103" w:rsidRPr="001C28D5" w:rsidRDefault="005B5103" w:rsidP="005B5103">
      <w:pPr>
        <w:ind w:left="1440"/>
        <w:rPr>
          <w:rFonts w:ascii="Arial" w:hAnsi="Arial" w:cs="Arial"/>
          <w:sz w:val="32"/>
          <w:szCs w:val="32"/>
          <w:u w:val="single"/>
        </w:rPr>
      </w:pPr>
    </w:p>
    <w:p w:rsidR="001C28D5" w:rsidRPr="001F7FC8" w:rsidRDefault="001C28D5" w:rsidP="005B5103">
      <w:pPr>
        <w:ind w:left="1440"/>
        <w:rPr>
          <w:rFonts w:ascii="Arial" w:hAnsi="Arial" w:cs="Arial"/>
          <w:color w:val="0070C0"/>
          <w:sz w:val="32"/>
          <w:szCs w:val="32"/>
          <w:u w:val="single"/>
        </w:rPr>
      </w:pPr>
      <w:r w:rsidRPr="001F7FC8">
        <w:rPr>
          <w:rFonts w:ascii="Arial" w:hAnsi="Arial" w:cs="Arial"/>
          <w:color w:val="0070C0"/>
          <w:sz w:val="32"/>
          <w:szCs w:val="32"/>
          <w:u w:val="single"/>
        </w:rPr>
        <w:t xml:space="preserve">Utilities: </w:t>
      </w:r>
    </w:p>
    <w:p w:rsidR="001F7FC8" w:rsidRDefault="001F7FC8" w:rsidP="005B5103">
      <w:pPr>
        <w:ind w:left="1440"/>
        <w:rPr>
          <w:rFonts w:ascii="Arial" w:hAnsi="Arial" w:cs="Arial"/>
          <w:color w:val="0070C0"/>
          <w:sz w:val="32"/>
          <w:szCs w:val="32"/>
        </w:rPr>
      </w:pPr>
    </w:p>
    <w:p w:rsidR="005B5103" w:rsidRDefault="00F94590" w:rsidP="005B5103">
      <w:pPr>
        <w:ind w:left="1440"/>
        <w:rPr>
          <w:rFonts w:ascii="Arial" w:hAnsi="Arial" w:cs="Arial"/>
          <w:color w:val="0070C0"/>
          <w:sz w:val="32"/>
          <w:szCs w:val="32"/>
        </w:rPr>
      </w:pPr>
      <w:r>
        <w:rPr>
          <w:rFonts w:ascii="Arial" w:hAnsi="Arial" w:cs="Arial"/>
          <w:color w:val="0070C0"/>
          <w:sz w:val="32"/>
          <w:szCs w:val="32"/>
        </w:rPr>
        <w:t>First Energy, PECO</w:t>
      </w:r>
      <w:r w:rsidR="00CF12B3">
        <w:rPr>
          <w:rFonts w:ascii="Arial" w:hAnsi="Arial" w:cs="Arial"/>
          <w:color w:val="0070C0"/>
          <w:sz w:val="32"/>
          <w:szCs w:val="32"/>
        </w:rPr>
        <w:t>, PPL, Duquesne</w:t>
      </w:r>
    </w:p>
    <w:p w:rsidR="001C28D5" w:rsidRDefault="001C28D5" w:rsidP="005B5103">
      <w:pPr>
        <w:ind w:left="1440"/>
        <w:rPr>
          <w:rFonts w:ascii="Arial" w:hAnsi="Arial" w:cs="Arial"/>
          <w:color w:val="0070C0"/>
          <w:sz w:val="32"/>
          <w:szCs w:val="32"/>
        </w:rPr>
      </w:pPr>
    </w:p>
    <w:p w:rsidR="001C28D5" w:rsidRPr="001F7FC8" w:rsidRDefault="001C28D5" w:rsidP="005B5103">
      <w:pPr>
        <w:ind w:left="1440"/>
        <w:rPr>
          <w:rFonts w:ascii="Arial" w:hAnsi="Arial" w:cs="Arial"/>
          <w:color w:val="0070C0"/>
          <w:sz w:val="32"/>
          <w:szCs w:val="32"/>
          <w:u w:val="single"/>
        </w:rPr>
      </w:pPr>
      <w:r w:rsidRPr="001F7FC8">
        <w:rPr>
          <w:rFonts w:ascii="Arial" w:hAnsi="Arial" w:cs="Arial"/>
          <w:color w:val="0070C0"/>
          <w:sz w:val="32"/>
          <w:szCs w:val="32"/>
          <w:u w:val="single"/>
        </w:rPr>
        <w:t>Suppliers:</w:t>
      </w:r>
    </w:p>
    <w:p w:rsidR="001F7FC8" w:rsidRPr="001C28D5" w:rsidRDefault="001F7FC8" w:rsidP="005B5103">
      <w:pPr>
        <w:ind w:left="1440"/>
        <w:rPr>
          <w:rFonts w:ascii="Arial" w:hAnsi="Arial" w:cs="Arial"/>
          <w:color w:val="0070C0"/>
          <w:sz w:val="32"/>
          <w:szCs w:val="32"/>
        </w:rPr>
      </w:pPr>
    </w:p>
    <w:p w:rsidR="001C28D5" w:rsidRDefault="001C28D5" w:rsidP="005B5103">
      <w:pPr>
        <w:ind w:left="1440"/>
        <w:rPr>
          <w:rFonts w:ascii="Arial" w:hAnsi="Arial" w:cs="Arial"/>
          <w:color w:val="0070C0"/>
          <w:sz w:val="32"/>
          <w:szCs w:val="32"/>
        </w:rPr>
      </w:pPr>
      <w:r>
        <w:rPr>
          <w:rFonts w:ascii="Arial" w:hAnsi="Arial" w:cs="Arial"/>
          <w:color w:val="0070C0"/>
          <w:sz w:val="32"/>
          <w:szCs w:val="32"/>
        </w:rPr>
        <w:t>ConEd Solutions, Direct</w:t>
      </w:r>
      <w:r w:rsidR="00CF12B3">
        <w:rPr>
          <w:rFonts w:ascii="Arial" w:hAnsi="Arial" w:cs="Arial"/>
          <w:color w:val="0070C0"/>
          <w:sz w:val="32"/>
          <w:szCs w:val="32"/>
        </w:rPr>
        <w:t xml:space="preserve"> Energy</w:t>
      </w:r>
    </w:p>
    <w:p w:rsidR="001C28D5" w:rsidRPr="001F7FC8" w:rsidRDefault="001C28D5" w:rsidP="005B5103">
      <w:pPr>
        <w:ind w:left="1440"/>
        <w:rPr>
          <w:rFonts w:ascii="Arial" w:hAnsi="Arial" w:cs="Arial"/>
          <w:color w:val="0070C0"/>
          <w:sz w:val="32"/>
          <w:szCs w:val="32"/>
          <w:u w:val="single"/>
        </w:rPr>
      </w:pPr>
    </w:p>
    <w:p w:rsidR="001C28D5" w:rsidRPr="001F7FC8" w:rsidRDefault="00CF12B3" w:rsidP="005B5103">
      <w:pPr>
        <w:ind w:left="1440"/>
        <w:rPr>
          <w:rFonts w:ascii="Arial" w:hAnsi="Arial" w:cs="Arial"/>
          <w:color w:val="0070C0"/>
          <w:sz w:val="32"/>
          <w:szCs w:val="32"/>
          <w:u w:val="single"/>
        </w:rPr>
      </w:pPr>
      <w:r>
        <w:rPr>
          <w:rFonts w:ascii="Arial" w:hAnsi="Arial" w:cs="Arial"/>
          <w:color w:val="0070C0"/>
          <w:sz w:val="32"/>
          <w:szCs w:val="32"/>
          <w:u w:val="single"/>
        </w:rPr>
        <w:t>Service</w:t>
      </w:r>
      <w:r w:rsidR="001C28D5" w:rsidRPr="001F7FC8">
        <w:rPr>
          <w:rFonts w:ascii="Arial" w:hAnsi="Arial" w:cs="Arial"/>
          <w:color w:val="0070C0"/>
          <w:sz w:val="32"/>
          <w:szCs w:val="32"/>
          <w:u w:val="single"/>
        </w:rPr>
        <w:t xml:space="preserve"> Providers: </w:t>
      </w:r>
    </w:p>
    <w:p w:rsidR="001F7FC8" w:rsidRDefault="001F7FC8" w:rsidP="005B5103">
      <w:pPr>
        <w:ind w:left="1440"/>
        <w:rPr>
          <w:rFonts w:ascii="Arial" w:hAnsi="Arial" w:cs="Arial"/>
          <w:color w:val="0070C0"/>
          <w:sz w:val="32"/>
          <w:szCs w:val="32"/>
        </w:rPr>
      </w:pPr>
    </w:p>
    <w:p w:rsidR="001C28D5" w:rsidRDefault="009672FA" w:rsidP="005B5103">
      <w:pPr>
        <w:ind w:left="1440"/>
        <w:rPr>
          <w:rFonts w:ascii="Arial" w:hAnsi="Arial" w:cs="Arial"/>
          <w:color w:val="0070C0"/>
          <w:sz w:val="32"/>
          <w:szCs w:val="32"/>
        </w:rPr>
      </w:pPr>
      <w:r>
        <w:rPr>
          <w:rFonts w:ascii="Arial" w:hAnsi="Arial" w:cs="Arial"/>
          <w:color w:val="0070C0"/>
          <w:sz w:val="32"/>
          <w:szCs w:val="32"/>
        </w:rPr>
        <w:t>Intelome</w:t>
      </w:r>
      <w:r w:rsidR="00F94590">
        <w:rPr>
          <w:rFonts w:ascii="Arial" w:hAnsi="Arial" w:cs="Arial"/>
          <w:color w:val="0070C0"/>
          <w:sz w:val="32"/>
          <w:szCs w:val="32"/>
        </w:rPr>
        <w:t>try</w:t>
      </w:r>
      <w:r w:rsidR="00D769A7">
        <w:rPr>
          <w:rFonts w:ascii="Arial" w:hAnsi="Arial" w:cs="Arial"/>
          <w:color w:val="0070C0"/>
          <w:sz w:val="32"/>
          <w:szCs w:val="32"/>
        </w:rPr>
        <w:t xml:space="preserve">, </w:t>
      </w:r>
      <w:r w:rsidR="00CF12B3">
        <w:rPr>
          <w:rFonts w:ascii="Arial" w:hAnsi="Arial" w:cs="Arial"/>
          <w:color w:val="0070C0"/>
          <w:sz w:val="32"/>
          <w:szCs w:val="32"/>
        </w:rPr>
        <w:t>ista North America, PPL Solutions</w:t>
      </w:r>
    </w:p>
    <w:p w:rsidR="001C28D5" w:rsidRDefault="001C28D5" w:rsidP="005B5103">
      <w:pPr>
        <w:ind w:left="1440"/>
        <w:rPr>
          <w:rFonts w:ascii="Arial" w:hAnsi="Arial" w:cs="Arial"/>
          <w:color w:val="0070C0"/>
          <w:sz w:val="32"/>
          <w:szCs w:val="32"/>
        </w:rPr>
      </w:pPr>
    </w:p>
    <w:p w:rsidR="001C28D5" w:rsidRDefault="001C28D5" w:rsidP="005B5103">
      <w:pPr>
        <w:ind w:left="1440"/>
        <w:rPr>
          <w:rFonts w:ascii="Arial" w:hAnsi="Arial" w:cs="Arial"/>
          <w:color w:val="0070C0"/>
          <w:sz w:val="32"/>
          <w:szCs w:val="32"/>
        </w:rPr>
      </w:pPr>
    </w:p>
    <w:p w:rsidR="005B5103" w:rsidRDefault="005B5103" w:rsidP="005B5103">
      <w:pPr>
        <w:ind w:left="1440"/>
        <w:rPr>
          <w:rFonts w:ascii="Arial" w:hAnsi="Arial" w:cs="Arial"/>
          <w:color w:val="0070C0"/>
          <w:sz w:val="32"/>
          <w:szCs w:val="32"/>
        </w:rPr>
      </w:pPr>
    </w:p>
    <w:p w:rsidR="00CF12B3" w:rsidRDefault="00CF12B3" w:rsidP="005B5103">
      <w:pPr>
        <w:ind w:left="1440"/>
        <w:rPr>
          <w:rFonts w:ascii="Arial" w:hAnsi="Arial" w:cs="Arial"/>
          <w:color w:val="0070C0"/>
          <w:sz w:val="32"/>
          <w:szCs w:val="32"/>
        </w:rPr>
      </w:pPr>
    </w:p>
    <w:p w:rsidR="00CF12B3" w:rsidRDefault="00CF12B3" w:rsidP="005B5103">
      <w:pPr>
        <w:ind w:left="1440"/>
        <w:rPr>
          <w:rFonts w:ascii="Arial" w:hAnsi="Arial" w:cs="Arial"/>
          <w:color w:val="0070C0"/>
          <w:sz w:val="32"/>
          <w:szCs w:val="32"/>
        </w:rPr>
      </w:pPr>
    </w:p>
    <w:p w:rsidR="00194B81" w:rsidRDefault="00194B81" w:rsidP="00194B81">
      <w:pPr>
        <w:ind w:left="1440"/>
        <w:rPr>
          <w:rFonts w:ascii="Arial" w:hAnsi="Arial" w:cs="Arial"/>
          <w:sz w:val="32"/>
          <w:szCs w:val="32"/>
        </w:rPr>
      </w:pPr>
    </w:p>
    <w:p w:rsidR="005B5103" w:rsidRDefault="00B77636" w:rsidP="003C0CF1">
      <w:pPr>
        <w:rPr>
          <w:rFonts w:ascii="Arial" w:hAnsi="Arial" w:cs="Arial"/>
          <w:sz w:val="32"/>
          <w:szCs w:val="32"/>
        </w:rPr>
      </w:pPr>
      <w:r>
        <w:rPr>
          <w:rFonts w:ascii="Arial" w:hAnsi="Arial" w:cs="Arial"/>
          <w:sz w:val="32"/>
          <w:szCs w:val="32"/>
        </w:rPr>
        <w:lastRenderedPageBreak/>
        <w:t>PUC Letter</w:t>
      </w:r>
      <w:r w:rsidR="00CF12B3">
        <w:rPr>
          <w:rFonts w:ascii="Arial" w:hAnsi="Arial" w:cs="Arial"/>
          <w:sz w:val="32"/>
          <w:szCs w:val="32"/>
        </w:rPr>
        <w:t xml:space="preserve"> from EDEWG Leadership on WPWG</w:t>
      </w:r>
    </w:p>
    <w:p w:rsidR="009672FA" w:rsidRPr="00180E00" w:rsidRDefault="009672FA" w:rsidP="005B5103">
      <w:pPr>
        <w:ind w:left="1440"/>
        <w:rPr>
          <w:rFonts w:ascii="Arial" w:hAnsi="Arial" w:cs="Arial"/>
          <w:sz w:val="32"/>
          <w:szCs w:val="32"/>
        </w:rPr>
      </w:pPr>
    </w:p>
    <w:p w:rsidR="00180E00" w:rsidRPr="00CF12B3" w:rsidRDefault="00CF12B3" w:rsidP="003C0CF1">
      <w:pPr>
        <w:rPr>
          <w:rFonts w:ascii="Arial" w:hAnsi="Arial" w:cs="Arial"/>
          <w:color w:val="0070C0"/>
          <w:sz w:val="22"/>
          <w:szCs w:val="22"/>
        </w:rPr>
      </w:pPr>
      <w:bookmarkStart w:id="0" w:name="_GoBack"/>
      <w:bookmarkEnd w:id="0"/>
      <w:r w:rsidRPr="00CF12B3">
        <w:rPr>
          <w:rFonts w:ascii="Arial" w:hAnsi="Arial" w:cs="Arial"/>
          <w:color w:val="0070C0"/>
          <w:sz w:val="22"/>
          <w:szCs w:val="22"/>
        </w:rPr>
        <w:t>Leadership approved and is circulated for wet signature.   Due to physical locations across the country, the earliest filing with PUC is 2/10 or 2/11</w:t>
      </w:r>
    </w:p>
    <w:p w:rsidR="00180E00" w:rsidRDefault="00180E00" w:rsidP="00B77636">
      <w:pPr>
        <w:ind w:left="1440"/>
        <w:rPr>
          <w:rFonts w:ascii="Arial" w:hAnsi="Arial" w:cs="Arial"/>
          <w:color w:val="0070C0"/>
          <w:sz w:val="32"/>
          <w:szCs w:val="32"/>
        </w:rPr>
      </w:pPr>
      <w:r>
        <w:rPr>
          <w:rFonts w:ascii="Arial" w:hAnsi="Arial" w:cs="Arial"/>
          <w:color w:val="0070C0"/>
          <w:sz w:val="32"/>
          <w:szCs w:val="32"/>
        </w:rPr>
        <w:t xml:space="preserve"> </w:t>
      </w:r>
    </w:p>
    <w:p w:rsidR="00180E00" w:rsidRDefault="00180E00" w:rsidP="005B5103">
      <w:pPr>
        <w:ind w:left="1440"/>
        <w:rPr>
          <w:rFonts w:ascii="Arial" w:hAnsi="Arial" w:cs="Arial"/>
          <w:color w:val="0070C0"/>
          <w:sz w:val="32"/>
          <w:szCs w:val="32"/>
        </w:rPr>
      </w:pPr>
    </w:p>
    <w:p w:rsidR="00180E00" w:rsidRDefault="00CF12B3" w:rsidP="003C0CF1">
      <w:pPr>
        <w:rPr>
          <w:rFonts w:ascii="Arial" w:hAnsi="Arial" w:cs="Arial"/>
          <w:sz w:val="32"/>
          <w:szCs w:val="32"/>
        </w:rPr>
      </w:pPr>
      <w:r>
        <w:rPr>
          <w:rFonts w:ascii="Arial" w:hAnsi="Arial" w:cs="Arial"/>
          <w:sz w:val="32"/>
          <w:szCs w:val="32"/>
        </w:rPr>
        <w:t>Follow up from 1/2</w:t>
      </w:r>
      <w:r w:rsidR="00EC5A84">
        <w:rPr>
          <w:rFonts w:ascii="Arial" w:hAnsi="Arial" w:cs="Arial"/>
          <w:sz w:val="32"/>
          <w:szCs w:val="32"/>
        </w:rPr>
        <w:t>2</w:t>
      </w:r>
      <w:r>
        <w:rPr>
          <w:rFonts w:ascii="Arial" w:hAnsi="Arial" w:cs="Arial"/>
          <w:sz w:val="32"/>
          <w:szCs w:val="32"/>
        </w:rPr>
        <w:t xml:space="preserve"> meeting</w:t>
      </w:r>
      <w:r w:rsidR="00180E00" w:rsidRPr="00180E00">
        <w:rPr>
          <w:rFonts w:ascii="Arial" w:hAnsi="Arial" w:cs="Arial"/>
          <w:sz w:val="32"/>
          <w:szCs w:val="32"/>
        </w:rPr>
        <w:t xml:space="preserve"> </w:t>
      </w:r>
    </w:p>
    <w:p w:rsidR="009672FA" w:rsidRPr="0031739C" w:rsidRDefault="009672FA" w:rsidP="005B5103">
      <w:pPr>
        <w:ind w:left="1440"/>
        <w:rPr>
          <w:rFonts w:ascii="Arial" w:hAnsi="Arial" w:cs="Arial"/>
          <w:sz w:val="22"/>
          <w:szCs w:val="22"/>
        </w:rPr>
      </w:pPr>
    </w:p>
    <w:p w:rsidR="00CF12B3" w:rsidRPr="003C0CF1" w:rsidRDefault="00CF12B3" w:rsidP="003C0CF1">
      <w:pPr>
        <w:numPr>
          <w:ilvl w:val="0"/>
          <w:numId w:val="4"/>
        </w:numPr>
        <w:rPr>
          <w:rFonts w:ascii="Arial" w:hAnsi="Arial" w:cs="Arial"/>
          <w:color w:val="0070C0"/>
          <w:sz w:val="22"/>
          <w:szCs w:val="22"/>
        </w:rPr>
      </w:pPr>
      <w:r w:rsidRPr="0031739C">
        <w:rPr>
          <w:rFonts w:ascii="Arial" w:hAnsi="Arial" w:cs="Arial"/>
          <w:color w:val="0070C0"/>
          <w:sz w:val="22"/>
          <w:szCs w:val="22"/>
        </w:rPr>
        <w:t xml:space="preserve">March 2014 deliverable:  </w:t>
      </w:r>
      <w:r w:rsidR="006A43A9" w:rsidRPr="0031739C">
        <w:rPr>
          <w:rFonts w:ascii="Arial" w:hAnsi="Arial" w:cs="Arial"/>
          <w:color w:val="0070C0"/>
          <w:sz w:val="22"/>
          <w:szCs w:val="22"/>
        </w:rPr>
        <w:t xml:space="preserve">Joe Bisti (PECO) stressed the importance of </w:t>
      </w:r>
      <w:r w:rsidRPr="0031739C">
        <w:rPr>
          <w:rFonts w:ascii="Arial" w:hAnsi="Arial" w:cs="Arial"/>
          <w:color w:val="0070C0"/>
          <w:sz w:val="22"/>
          <w:szCs w:val="22"/>
        </w:rPr>
        <w:t xml:space="preserve">a timely response from the PUC relative to the EDEWG letter.   </w:t>
      </w:r>
      <w:r w:rsidR="006A43A9" w:rsidRPr="0031739C">
        <w:rPr>
          <w:rFonts w:ascii="Arial" w:hAnsi="Arial" w:cs="Arial"/>
          <w:color w:val="0070C0"/>
          <w:sz w:val="22"/>
          <w:szCs w:val="22"/>
        </w:rPr>
        <w:t>Assumptions have been made the PUC will issue a decision by March 1</w:t>
      </w:r>
      <w:r w:rsidR="006A43A9" w:rsidRPr="0031739C">
        <w:rPr>
          <w:rFonts w:ascii="Arial" w:hAnsi="Arial" w:cs="Arial"/>
          <w:color w:val="0070C0"/>
          <w:sz w:val="22"/>
          <w:szCs w:val="22"/>
          <w:vertAlign w:val="superscript"/>
        </w:rPr>
        <w:t>st</w:t>
      </w:r>
      <w:r w:rsidR="006A43A9" w:rsidRPr="0031739C">
        <w:rPr>
          <w:rFonts w:ascii="Arial" w:hAnsi="Arial" w:cs="Arial"/>
          <w:color w:val="0070C0"/>
          <w:sz w:val="22"/>
          <w:szCs w:val="22"/>
        </w:rPr>
        <w:t xml:space="preserve"> and it would be in the EDEWG’s favor.   Obviously if either does not occur, the March 1</w:t>
      </w:r>
      <w:r w:rsidR="006A43A9" w:rsidRPr="0031739C">
        <w:rPr>
          <w:rFonts w:ascii="Arial" w:hAnsi="Arial" w:cs="Arial"/>
          <w:color w:val="0070C0"/>
          <w:sz w:val="22"/>
          <w:szCs w:val="22"/>
          <w:vertAlign w:val="superscript"/>
        </w:rPr>
        <w:t>st</w:t>
      </w:r>
      <w:r w:rsidR="006A43A9" w:rsidRPr="0031739C">
        <w:rPr>
          <w:rFonts w:ascii="Arial" w:hAnsi="Arial" w:cs="Arial"/>
          <w:color w:val="0070C0"/>
          <w:sz w:val="22"/>
          <w:szCs w:val="22"/>
        </w:rPr>
        <w:t xml:space="preserve"> deliverable could be much different than the current approach.</w:t>
      </w:r>
      <w:r w:rsidR="003C0CF1">
        <w:rPr>
          <w:rFonts w:ascii="Arial" w:hAnsi="Arial" w:cs="Arial"/>
          <w:color w:val="0070C0"/>
          <w:sz w:val="22"/>
          <w:szCs w:val="22"/>
        </w:rPr>
        <w:t xml:space="preserve">  </w:t>
      </w:r>
      <w:r w:rsidRPr="003C0CF1">
        <w:rPr>
          <w:rFonts w:ascii="Arial" w:hAnsi="Arial" w:cs="Arial"/>
          <w:color w:val="0070C0"/>
          <w:sz w:val="22"/>
          <w:szCs w:val="22"/>
        </w:rPr>
        <w:t>Brandon</w:t>
      </w:r>
      <w:r w:rsidR="006A43A9" w:rsidRPr="003C0CF1">
        <w:rPr>
          <w:rFonts w:ascii="Arial" w:hAnsi="Arial" w:cs="Arial"/>
          <w:color w:val="0070C0"/>
          <w:sz w:val="22"/>
          <w:szCs w:val="22"/>
        </w:rPr>
        <w:t xml:space="preserve"> Siegel (Intelometry)</w:t>
      </w:r>
      <w:r w:rsidRPr="003C0CF1">
        <w:rPr>
          <w:rFonts w:ascii="Arial" w:hAnsi="Arial" w:cs="Arial"/>
          <w:color w:val="0070C0"/>
          <w:sz w:val="22"/>
          <w:szCs w:val="22"/>
        </w:rPr>
        <w:t xml:space="preserve"> stated he would follow up with PUC Staff (Jeff McCracken &amp; Lee Yalcin) and request their assistance in expediting a decision from the Commission.</w:t>
      </w:r>
    </w:p>
    <w:p w:rsidR="006A43A9" w:rsidRPr="0031739C" w:rsidRDefault="006A43A9" w:rsidP="006A43A9">
      <w:pPr>
        <w:ind w:left="1800"/>
        <w:rPr>
          <w:rFonts w:ascii="Arial" w:hAnsi="Arial" w:cs="Arial"/>
          <w:color w:val="0070C0"/>
          <w:sz w:val="22"/>
          <w:szCs w:val="22"/>
        </w:rPr>
      </w:pPr>
    </w:p>
    <w:p w:rsidR="00CF12B3" w:rsidRPr="0031739C" w:rsidRDefault="00CF12B3" w:rsidP="003C0CF1">
      <w:pPr>
        <w:numPr>
          <w:ilvl w:val="0"/>
          <w:numId w:val="4"/>
        </w:numPr>
        <w:rPr>
          <w:rFonts w:ascii="Arial" w:hAnsi="Arial" w:cs="Arial"/>
          <w:color w:val="0070C0"/>
          <w:sz w:val="22"/>
          <w:szCs w:val="22"/>
        </w:rPr>
      </w:pPr>
      <w:r w:rsidRPr="0031739C">
        <w:rPr>
          <w:rFonts w:ascii="Arial" w:hAnsi="Arial" w:cs="Arial"/>
          <w:color w:val="0070C0"/>
          <w:sz w:val="22"/>
          <w:szCs w:val="22"/>
        </w:rPr>
        <w:t>The current Solution Framework would be filed on March 1</w:t>
      </w:r>
      <w:r w:rsidRPr="0031739C">
        <w:rPr>
          <w:rFonts w:ascii="Arial" w:hAnsi="Arial" w:cs="Arial"/>
          <w:color w:val="0070C0"/>
          <w:sz w:val="22"/>
          <w:szCs w:val="22"/>
          <w:vertAlign w:val="superscript"/>
        </w:rPr>
        <w:t>st</w:t>
      </w:r>
      <w:r w:rsidRPr="0031739C">
        <w:rPr>
          <w:rFonts w:ascii="Arial" w:hAnsi="Arial" w:cs="Arial"/>
          <w:color w:val="0070C0"/>
          <w:sz w:val="22"/>
          <w:szCs w:val="22"/>
        </w:rPr>
        <w:t xml:space="preserve"> with a cover letter from the EDEWG leadership detailing the progress, challenges and direction of the WPWG.   Stress it’s a living document </w:t>
      </w:r>
      <w:r w:rsidR="00260B8C" w:rsidRPr="0031739C">
        <w:rPr>
          <w:rFonts w:ascii="Arial" w:hAnsi="Arial" w:cs="Arial"/>
          <w:color w:val="0070C0"/>
          <w:sz w:val="22"/>
          <w:szCs w:val="22"/>
        </w:rPr>
        <w:t>going forward.</w:t>
      </w:r>
    </w:p>
    <w:p w:rsidR="006A43A9" w:rsidRPr="0031739C" w:rsidRDefault="006A43A9" w:rsidP="006A43A9">
      <w:pPr>
        <w:ind w:left="1800"/>
        <w:rPr>
          <w:rFonts w:ascii="Arial" w:hAnsi="Arial" w:cs="Arial"/>
          <w:color w:val="0070C0"/>
          <w:sz w:val="22"/>
          <w:szCs w:val="22"/>
        </w:rPr>
      </w:pPr>
    </w:p>
    <w:p w:rsidR="003C0CF1" w:rsidRDefault="00260B8C" w:rsidP="003C0CF1">
      <w:pPr>
        <w:numPr>
          <w:ilvl w:val="0"/>
          <w:numId w:val="4"/>
        </w:numPr>
        <w:rPr>
          <w:rFonts w:ascii="Arial" w:hAnsi="Arial" w:cs="Arial"/>
          <w:color w:val="0070C0"/>
          <w:sz w:val="22"/>
          <w:szCs w:val="22"/>
        </w:rPr>
      </w:pPr>
      <w:r w:rsidRPr="0031739C">
        <w:rPr>
          <w:rFonts w:ascii="Arial" w:hAnsi="Arial" w:cs="Arial"/>
          <w:color w:val="0070C0"/>
          <w:sz w:val="22"/>
          <w:szCs w:val="22"/>
        </w:rPr>
        <w:t xml:space="preserve">The WPWG needs a common reference point relative to the differences between the ‘single user’ and the ‘system to system’ models.   Joe </w:t>
      </w:r>
      <w:r w:rsidR="004D3F8D">
        <w:rPr>
          <w:rFonts w:ascii="Arial" w:hAnsi="Arial" w:cs="Arial"/>
          <w:color w:val="0070C0"/>
          <w:sz w:val="22"/>
          <w:szCs w:val="22"/>
        </w:rPr>
        <w:t xml:space="preserve">Bisti of PECO </w:t>
      </w:r>
      <w:r w:rsidRPr="0031739C">
        <w:rPr>
          <w:rFonts w:ascii="Arial" w:hAnsi="Arial" w:cs="Arial"/>
          <w:color w:val="0070C0"/>
          <w:sz w:val="22"/>
          <w:szCs w:val="22"/>
        </w:rPr>
        <w:t xml:space="preserve">suggested, and the group agreed, for a technical sub-team to develop a </w:t>
      </w:r>
      <w:r w:rsidR="003C0CF1">
        <w:rPr>
          <w:rFonts w:ascii="Arial" w:hAnsi="Arial" w:cs="Arial"/>
          <w:color w:val="0070C0"/>
          <w:sz w:val="22"/>
          <w:szCs w:val="22"/>
        </w:rPr>
        <w:t xml:space="preserve">technical </w:t>
      </w:r>
      <w:r w:rsidRPr="0031739C">
        <w:rPr>
          <w:rFonts w:ascii="Arial" w:hAnsi="Arial" w:cs="Arial"/>
          <w:color w:val="0070C0"/>
          <w:sz w:val="22"/>
          <w:szCs w:val="22"/>
        </w:rPr>
        <w:t xml:space="preserve">PowerPoint deck to fit this need.   </w:t>
      </w:r>
      <w:r w:rsidR="003C0CF1">
        <w:rPr>
          <w:rFonts w:ascii="Arial" w:hAnsi="Arial" w:cs="Arial"/>
          <w:color w:val="0070C0"/>
          <w:sz w:val="22"/>
          <w:szCs w:val="22"/>
        </w:rPr>
        <w:t>The d</w:t>
      </w:r>
      <w:r w:rsidR="003C0CF1" w:rsidRPr="003C0CF1">
        <w:rPr>
          <w:rFonts w:ascii="Arial" w:hAnsi="Arial" w:cs="Arial"/>
          <w:color w:val="0070C0"/>
          <w:sz w:val="22"/>
          <w:szCs w:val="22"/>
        </w:rPr>
        <w:t>eck itself will cover how system-to-system is different than user-to-system and how it must change the conversations on various topics.  It is likely to include definitions, high-level technical diagrams with explanation, some use cases to illustrate examples, and information on what the available technologies actually provide.  It would be used as a reference point moving forward.</w:t>
      </w:r>
      <w:r w:rsidR="003C0CF1">
        <w:rPr>
          <w:rFonts w:ascii="Arial" w:hAnsi="Arial" w:cs="Arial"/>
          <w:color w:val="0070C0"/>
          <w:sz w:val="22"/>
          <w:szCs w:val="22"/>
        </w:rPr>
        <w:t xml:space="preserve">  </w:t>
      </w:r>
      <w:r w:rsidR="004D3F8D">
        <w:rPr>
          <w:rFonts w:ascii="Arial" w:hAnsi="Arial" w:cs="Arial"/>
          <w:color w:val="0070C0"/>
          <w:sz w:val="22"/>
          <w:szCs w:val="22"/>
        </w:rPr>
        <w:t>PECO</w:t>
      </w:r>
      <w:r w:rsidRPr="003C0CF1">
        <w:rPr>
          <w:rFonts w:ascii="Arial" w:hAnsi="Arial" w:cs="Arial"/>
          <w:color w:val="0070C0"/>
          <w:sz w:val="22"/>
          <w:szCs w:val="22"/>
        </w:rPr>
        <w:t xml:space="preserve"> solicited </w:t>
      </w:r>
      <w:r w:rsidRPr="003C0CF1">
        <w:rPr>
          <w:rFonts w:ascii="Arial" w:hAnsi="Arial" w:cs="Arial"/>
          <w:color w:val="0070C0"/>
          <w:sz w:val="22"/>
          <w:szCs w:val="22"/>
          <w:u w:val="single"/>
        </w:rPr>
        <w:t>technical</w:t>
      </w:r>
      <w:r w:rsidRPr="003C0CF1">
        <w:rPr>
          <w:rFonts w:ascii="Arial" w:hAnsi="Arial" w:cs="Arial"/>
          <w:color w:val="0070C0"/>
          <w:sz w:val="22"/>
          <w:szCs w:val="22"/>
        </w:rPr>
        <w:t xml:space="preserve"> volunteers preferably from each the EDC, EGS, service provider and EDEWG leadership segments.   </w:t>
      </w:r>
      <w:r w:rsidR="003C0CF1" w:rsidRPr="003C0CF1">
        <w:rPr>
          <w:rFonts w:ascii="Arial" w:hAnsi="Arial" w:cs="Arial"/>
          <w:color w:val="0070C0"/>
          <w:sz w:val="22"/>
          <w:szCs w:val="22"/>
        </w:rPr>
        <w:t xml:space="preserve">PECO will coordinate with all volunteers and facilitate creation of the deck.  </w:t>
      </w:r>
      <w:r w:rsidRPr="003C0CF1">
        <w:rPr>
          <w:rFonts w:ascii="Arial" w:hAnsi="Arial" w:cs="Arial"/>
          <w:color w:val="0070C0"/>
          <w:sz w:val="22"/>
          <w:szCs w:val="22"/>
        </w:rPr>
        <w:t>The goal would be for this team to share the deck during the March 12 or 19 meeting.</w:t>
      </w:r>
      <w:r w:rsidR="0031739C" w:rsidRPr="003C0CF1">
        <w:rPr>
          <w:rFonts w:ascii="Arial" w:hAnsi="Arial" w:cs="Arial"/>
          <w:color w:val="0070C0"/>
          <w:sz w:val="22"/>
          <w:szCs w:val="22"/>
        </w:rPr>
        <w:t xml:space="preserve">  </w:t>
      </w:r>
    </w:p>
    <w:p w:rsidR="003C0CF1" w:rsidRDefault="003C0CF1" w:rsidP="003C0CF1">
      <w:pPr>
        <w:pStyle w:val="ListParagraph"/>
        <w:rPr>
          <w:rFonts w:ascii="Arial" w:hAnsi="Arial" w:cs="Arial"/>
          <w:color w:val="0070C0"/>
          <w:sz w:val="22"/>
          <w:szCs w:val="22"/>
        </w:rPr>
      </w:pPr>
    </w:p>
    <w:p w:rsidR="00260B8C" w:rsidRPr="003C0CF1" w:rsidRDefault="00260B8C" w:rsidP="003C0CF1">
      <w:pPr>
        <w:numPr>
          <w:ilvl w:val="1"/>
          <w:numId w:val="4"/>
        </w:numPr>
        <w:rPr>
          <w:rFonts w:ascii="Arial" w:hAnsi="Arial" w:cs="Arial"/>
          <w:color w:val="0070C0"/>
          <w:sz w:val="22"/>
          <w:szCs w:val="22"/>
        </w:rPr>
      </w:pPr>
      <w:r w:rsidRPr="003C0CF1">
        <w:rPr>
          <w:rFonts w:ascii="Arial" w:hAnsi="Arial" w:cs="Arial"/>
          <w:color w:val="0070C0"/>
          <w:sz w:val="22"/>
          <w:szCs w:val="22"/>
        </w:rPr>
        <w:t>Volunteers to date…</w:t>
      </w:r>
    </w:p>
    <w:p w:rsidR="00260B8C" w:rsidRPr="0031739C" w:rsidRDefault="00260B8C" w:rsidP="003C0CF1">
      <w:pPr>
        <w:numPr>
          <w:ilvl w:val="2"/>
          <w:numId w:val="4"/>
        </w:numPr>
        <w:rPr>
          <w:rFonts w:ascii="Arial" w:hAnsi="Arial" w:cs="Arial"/>
          <w:color w:val="0070C0"/>
          <w:sz w:val="22"/>
          <w:szCs w:val="22"/>
        </w:rPr>
      </w:pPr>
      <w:r w:rsidRPr="0031739C">
        <w:rPr>
          <w:rFonts w:ascii="Arial" w:hAnsi="Arial" w:cs="Arial"/>
          <w:color w:val="0070C0"/>
          <w:sz w:val="22"/>
          <w:szCs w:val="22"/>
        </w:rPr>
        <w:t>Joe Bisti</w:t>
      </w:r>
      <w:r w:rsidR="004D3F8D">
        <w:rPr>
          <w:rFonts w:ascii="Arial" w:hAnsi="Arial" w:cs="Arial"/>
          <w:color w:val="0070C0"/>
          <w:sz w:val="22"/>
          <w:szCs w:val="22"/>
        </w:rPr>
        <w:t>, Kyle Jordan</w:t>
      </w:r>
      <w:r w:rsidRPr="0031739C">
        <w:rPr>
          <w:rFonts w:ascii="Arial" w:hAnsi="Arial" w:cs="Arial"/>
          <w:color w:val="0070C0"/>
          <w:sz w:val="22"/>
          <w:szCs w:val="22"/>
        </w:rPr>
        <w:t xml:space="preserve"> (PECO </w:t>
      </w:r>
      <w:r w:rsidR="006A43A9" w:rsidRPr="0031739C">
        <w:rPr>
          <w:rFonts w:ascii="Arial" w:hAnsi="Arial" w:cs="Arial"/>
          <w:color w:val="0070C0"/>
          <w:sz w:val="22"/>
          <w:szCs w:val="22"/>
        </w:rPr>
        <w:t xml:space="preserve">&amp; </w:t>
      </w:r>
      <w:r w:rsidRPr="0031739C">
        <w:rPr>
          <w:rFonts w:ascii="Arial" w:hAnsi="Arial" w:cs="Arial"/>
          <w:color w:val="0070C0"/>
          <w:sz w:val="22"/>
          <w:szCs w:val="22"/>
        </w:rPr>
        <w:t>team) – EDC</w:t>
      </w:r>
    </w:p>
    <w:p w:rsidR="00260B8C" w:rsidRPr="0031739C" w:rsidRDefault="00260B8C" w:rsidP="003C0CF1">
      <w:pPr>
        <w:numPr>
          <w:ilvl w:val="2"/>
          <w:numId w:val="4"/>
        </w:numPr>
        <w:rPr>
          <w:rFonts w:ascii="Arial" w:hAnsi="Arial" w:cs="Arial"/>
          <w:color w:val="0070C0"/>
          <w:sz w:val="22"/>
          <w:szCs w:val="22"/>
        </w:rPr>
      </w:pPr>
      <w:r w:rsidRPr="0031739C">
        <w:rPr>
          <w:rFonts w:ascii="Arial" w:hAnsi="Arial" w:cs="Arial"/>
          <w:color w:val="0070C0"/>
          <w:sz w:val="22"/>
          <w:szCs w:val="22"/>
        </w:rPr>
        <w:t>Brandon Siegel</w:t>
      </w:r>
      <w:r w:rsidR="006A43A9" w:rsidRPr="0031739C">
        <w:rPr>
          <w:rFonts w:ascii="Arial" w:hAnsi="Arial" w:cs="Arial"/>
          <w:color w:val="0070C0"/>
          <w:sz w:val="22"/>
          <w:szCs w:val="22"/>
        </w:rPr>
        <w:t xml:space="preserve"> (Intelometry)</w:t>
      </w:r>
      <w:r w:rsidRPr="0031739C">
        <w:rPr>
          <w:rFonts w:ascii="Arial" w:hAnsi="Arial" w:cs="Arial"/>
          <w:color w:val="0070C0"/>
          <w:sz w:val="22"/>
          <w:szCs w:val="22"/>
        </w:rPr>
        <w:t xml:space="preserve"> – Service Provider / EDEWG leadership</w:t>
      </w:r>
    </w:p>
    <w:p w:rsidR="00260B8C" w:rsidRPr="0031739C" w:rsidRDefault="00260B8C" w:rsidP="003C0CF1">
      <w:pPr>
        <w:numPr>
          <w:ilvl w:val="2"/>
          <w:numId w:val="4"/>
        </w:numPr>
        <w:rPr>
          <w:rFonts w:ascii="Arial" w:hAnsi="Arial" w:cs="Arial"/>
          <w:color w:val="0070C0"/>
          <w:sz w:val="22"/>
          <w:szCs w:val="22"/>
        </w:rPr>
      </w:pPr>
      <w:r w:rsidRPr="0031739C">
        <w:rPr>
          <w:rFonts w:ascii="Arial" w:hAnsi="Arial" w:cs="Arial"/>
          <w:color w:val="0070C0"/>
          <w:sz w:val="22"/>
          <w:szCs w:val="22"/>
        </w:rPr>
        <w:t xml:space="preserve">Sandeep Puskuru </w:t>
      </w:r>
      <w:r w:rsidR="006A43A9" w:rsidRPr="0031739C">
        <w:rPr>
          <w:rFonts w:ascii="Arial" w:hAnsi="Arial" w:cs="Arial"/>
          <w:color w:val="0070C0"/>
          <w:sz w:val="22"/>
          <w:szCs w:val="22"/>
        </w:rPr>
        <w:t>–</w:t>
      </w:r>
      <w:r w:rsidRPr="0031739C">
        <w:rPr>
          <w:rFonts w:ascii="Arial" w:hAnsi="Arial" w:cs="Arial"/>
          <w:color w:val="0070C0"/>
          <w:sz w:val="22"/>
          <w:szCs w:val="22"/>
        </w:rPr>
        <w:t xml:space="preserve"> </w:t>
      </w:r>
      <w:r w:rsidR="006A43A9" w:rsidRPr="0031739C">
        <w:rPr>
          <w:rFonts w:ascii="Arial" w:hAnsi="Arial" w:cs="Arial"/>
          <w:color w:val="0070C0"/>
          <w:sz w:val="22"/>
          <w:szCs w:val="22"/>
        </w:rPr>
        <w:t>(ConEd Solutions) – EGS</w:t>
      </w:r>
    </w:p>
    <w:p w:rsidR="006A43A9" w:rsidRDefault="003C0CF1" w:rsidP="003C0CF1">
      <w:pPr>
        <w:numPr>
          <w:ilvl w:val="2"/>
          <w:numId w:val="4"/>
        </w:numPr>
        <w:rPr>
          <w:rFonts w:ascii="Arial" w:hAnsi="Arial" w:cs="Arial"/>
          <w:color w:val="0070C0"/>
          <w:sz w:val="22"/>
          <w:szCs w:val="22"/>
        </w:rPr>
      </w:pPr>
      <w:r>
        <w:rPr>
          <w:rFonts w:ascii="Arial" w:hAnsi="Arial" w:cs="Arial"/>
          <w:color w:val="0070C0"/>
          <w:sz w:val="22"/>
          <w:szCs w:val="22"/>
        </w:rPr>
        <w:t>FirstEnergy – EDC – name TBD</w:t>
      </w:r>
    </w:p>
    <w:p w:rsidR="003C0CF1" w:rsidRPr="0031739C" w:rsidRDefault="003C0CF1" w:rsidP="003C0CF1">
      <w:pPr>
        <w:numPr>
          <w:ilvl w:val="2"/>
          <w:numId w:val="4"/>
        </w:numPr>
        <w:rPr>
          <w:rFonts w:ascii="Arial" w:hAnsi="Arial" w:cs="Arial"/>
          <w:color w:val="0070C0"/>
          <w:sz w:val="22"/>
          <w:szCs w:val="22"/>
        </w:rPr>
      </w:pPr>
      <w:r>
        <w:rPr>
          <w:rFonts w:ascii="Arial" w:hAnsi="Arial" w:cs="Arial"/>
          <w:color w:val="0070C0"/>
          <w:sz w:val="22"/>
          <w:szCs w:val="22"/>
        </w:rPr>
        <w:t>Ista North America – Service Provider – name TBD</w:t>
      </w:r>
    </w:p>
    <w:p w:rsidR="006A43A9" w:rsidRPr="0031739C" w:rsidRDefault="006A43A9" w:rsidP="006A43A9">
      <w:pPr>
        <w:ind w:left="3240"/>
        <w:rPr>
          <w:rFonts w:ascii="Arial" w:hAnsi="Arial" w:cs="Arial"/>
          <w:color w:val="0070C0"/>
          <w:sz w:val="22"/>
          <w:szCs w:val="22"/>
        </w:rPr>
      </w:pPr>
    </w:p>
    <w:p w:rsidR="006A43A9" w:rsidRPr="00490D7E" w:rsidRDefault="006A43A9" w:rsidP="00490D7E">
      <w:pPr>
        <w:pStyle w:val="ListParagraph"/>
        <w:numPr>
          <w:ilvl w:val="0"/>
          <w:numId w:val="4"/>
        </w:numPr>
        <w:contextualSpacing w:val="0"/>
        <w:rPr>
          <w:rFonts w:ascii="Arial" w:hAnsi="Arial" w:cs="Arial"/>
          <w:color w:val="0070C0"/>
          <w:sz w:val="22"/>
          <w:szCs w:val="22"/>
        </w:rPr>
      </w:pPr>
      <w:r w:rsidRPr="00490D7E">
        <w:rPr>
          <w:rFonts w:ascii="Arial" w:hAnsi="Arial" w:cs="Arial"/>
          <w:color w:val="0070C0"/>
          <w:sz w:val="22"/>
          <w:szCs w:val="22"/>
        </w:rPr>
        <w:t>During the 1/2</w:t>
      </w:r>
      <w:r w:rsidR="00EC5A84" w:rsidRPr="00490D7E">
        <w:rPr>
          <w:rFonts w:ascii="Arial" w:hAnsi="Arial" w:cs="Arial"/>
          <w:color w:val="0070C0"/>
          <w:sz w:val="22"/>
          <w:szCs w:val="22"/>
        </w:rPr>
        <w:t>2</w:t>
      </w:r>
      <w:r w:rsidRPr="00490D7E">
        <w:rPr>
          <w:rFonts w:ascii="Arial" w:hAnsi="Arial" w:cs="Arial"/>
          <w:color w:val="0070C0"/>
          <w:sz w:val="22"/>
          <w:szCs w:val="22"/>
        </w:rPr>
        <w:t xml:space="preserve"> meeting it was discussed about additional parties having access to the web portal, specifically Conservation Service Providers (CSPs).   Joe was concerned these parties have not been active participants in the </w:t>
      </w:r>
      <w:r w:rsidR="003C0CF1" w:rsidRPr="00490D7E">
        <w:rPr>
          <w:rFonts w:ascii="Arial" w:hAnsi="Arial" w:cs="Arial"/>
          <w:color w:val="0070C0"/>
          <w:sz w:val="22"/>
          <w:szCs w:val="22"/>
        </w:rPr>
        <w:t>EDEWG.  This is an EDEWG subgroup, and members have asked PUC representation in the past if and how they intended to engage CSPs in this effort given that CSPs have never been connected to EDEWG (nor have they ever had a reason to be).</w:t>
      </w:r>
      <w:r w:rsidRPr="00490D7E">
        <w:rPr>
          <w:rFonts w:ascii="Arial" w:hAnsi="Arial" w:cs="Arial"/>
          <w:color w:val="0070C0"/>
          <w:sz w:val="22"/>
          <w:szCs w:val="22"/>
        </w:rPr>
        <w:t xml:space="preserve"> </w:t>
      </w:r>
      <w:r w:rsidR="003C0CF1" w:rsidRPr="00490D7E">
        <w:rPr>
          <w:rFonts w:ascii="Arial" w:hAnsi="Arial" w:cs="Arial"/>
          <w:color w:val="0070C0"/>
          <w:sz w:val="22"/>
          <w:szCs w:val="22"/>
        </w:rPr>
        <w:t xml:space="preserve"> By not informing them of this effort is equivalent to precluding them</w:t>
      </w:r>
      <w:r w:rsidR="00490D7E" w:rsidRPr="00490D7E">
        <w:rPr>
          <w:rFonts w:ascii="Arial" w:hAnsi="Arial" w:cs="Arial"/>
          <w:color w:val="0070C0"/>
          <w:sz w:val="22"/>
          <w:szCs w:val="22"/>
        </w:rPr>
        <w:t xml:space="preserve"> from access</w:t>
      </w:r>
      <w:r w:rsidR="003C0CF1" w:rsidRPr="00490D7E">
        <w:rPr>
          <w:rFonts w:ascii="Arial" w:hAnsi="Arial" w:cs="Arial"/>
          <w:color w:val="0070C0"/>
          <w:sz w:val="22"/>
          <w:szCs w:val="22"/>
        </w:rPr>
        <w:t xml:space="preserve">, and </w:t>
      </w:r>
      <w:r w:rsidR="00490D7E" w:rsidRPr="00490D7E">
        <w:rPr>
          <w:rFonts w:ascii="Arial" w:hAnsi="Arial" w:cs="Arial"/>
          <w:color w:val="0070C0"/>
          <w:sz w:val="22"/>
          <w:szCs w:val="22"/>
        </w:rPr>
        <w:t>PECO</w:t>
      </w:r>
      <w:r w:rsidR="003C0CF1" w:rsidRPr="00490D7E">
        <w:rPr>
          <w:rFonts w:ascii="Arial" w:hAnsi="Arial" w:cs="Arial"/>
          <w:color w:val="0070C0"/>
          <w:sz w:val="22"/>
          <w:szCs w:val="22"/>
        </w:rPr>
        <w:t xml:space="preserve"> believe</w:t>
      </w:r>
      <w:r w:rsidR="00490D7E" w:rsidRPr="00490D7E">
        <w:rPr>
          <w:rFonts w:ascii="Arial" w:hAnsi="Arial" w:cs="Arial"/>
          <w:color w:val="0070C0"/>
          <w:sz w:val="22"/>
          <w:szCs w:val="22"/>
        </w:rPr>
        <w:t>s</w:t>
      </w:r>
      <w:r w:rsidR="003C0CF1" w:rsidRPr="00490D7E">
        <w:rPr>
          <w:rFonts w:ascii="Arial" w:hAnsi="Arial" w:cs="Arial"/>
          <w:color w:val="0070C0"/>
          <w:sz w:val="22"/>
          <w:szCs w:val="22"/>
        </w:rPr>
        <w:t xml:space="preserve"> ensuring </w:t>
      </w:r>
      <w:r w:rsidR="00490D7E" w:rsidRPr="00490D7E">
        <w:rPr>
          <w:rFonts w:ascii="Arial" w:hAnsi="Arial" w:cs="Arial"/>
          <w:color w:val="0070C0"/>
          <w:sz w:val="22"/>
          <w:szCs w:val="22"/>
        </w:rPr>
        <w:t>CSPs</w:t>
      </w:r>
      <w:r w:rsidR="003C0CF1" w:rsidRPr="00490D7E">
        <w:rPr>
          <w:rFonts w:ascii="Arial" w:hAnsi="Arial" w:cs="Arial"/>
          <w:color w:val="0070C0"/>
          <w:sz w:val="22"/>
          <w:szCs w:val="22"/>
        </w:rPr>
        <w:t xml:space="preserve"> are at minimum informed that is an EDEWG Leadership responsibility in collaboration with the PUC liaisons. </w:t>
      </w:r>
      <w:r w:rsidRPr="00490D7E">
        <w:rPr>
          <w:rFonts w:ascii="Arial" w:hAnsi="Arial" w:cs="Arial"/>
          <w:color w:val="0070C0"/>
          <w:sz w:val="22"/>
          <w:szCs w:val="22"/>
        </w:rPr>
        <w:t xml:space="preserve">Brandon stated the Smart Meter Data order references the CSP entity and </w:t>
      </w:r>
      <w:proofErr w:type="gramStart"/>
      <w:r w:rsidRPr="00490D7E">
        <w:rPr>
          <w:rFonts w:ascii="Arial" w:hAnsi="Arial" w:cs="Arial"/>
          <w:color w:val="0070C0"/>
          <w:sz w:val="22"/>
          <w:szCs w:val="22"/>
        </w:rPr>
        <w:lastRenderedPageBreak/>
        <w:t>precluding</w:t>
      </w:r>
      <w:proofErr w:type="gramEnd"/>
      <w:r w:rsidRPr="00490D7E">
        <w:rPr>
          <w:rFonts w:ascii="Arial" w:hAnsi="Arial" w:cs="Arial"/>
          <w:color w:val="0070C0"/>
          <w:sz w:val="22"/>
          <w:szCs w:val="22"/>
        </w:rPr>
        <w:t xml:space="preserve"> their access could result in larger issues as the portals come online.   Sue Scheetz (PPL) stated there are CSPs who currently have access to the PPL web portal.</w:t>
      </w:r>
    </w:p>
    <w:p w:rsidR="006A43A9" w:rsidRPr="00490D7E" w:rsidRDefault="006A43A9" w:rsidP="00490D7E">
      <w:pPr>
        <w:numPr>
          <w:ilvl w:val="1"/>
          <w:numId w:val="4"/>
        </w:numPr>
        <w:rPr>
          <w:rFonts w:ascii="Arial" w:hAnsi="Arial" w:cs="Arial"/>
          <w:color w:val="0070C0"/>
          <w:sz w:val="22"/>
          <w:szCs w:val="22"/>
        </w:rPr>
      </w:pPr>
      <w:r w:rsidRPr="00490D7E">
        <w:rPr>
          <w:rFonts w:ascii="Arial" w:hAnsi="Arial" w:cs="Arial"/>
          <w:color w:val="0070C0"/>
          <w:sz w:val="22"/>
          <w:szCs w:val="22"/>
        </w:rPr>
        <w:t xml:space="preserve">Brandon will follow up with PUC Staff relative to </w:t>
      </w:r>
      <w:r w:rsidR="0031739C" w:rsidRPr="00490D7E">
        <w:rPr>
          <w:rFonts w:ascii="Arial" w:hAnsi="Arial" w:cs="Arial"/>
          <w:color w:val="0070C0"/>
          <w:sz w:val="22"/>
          <w:szCs w:val="22"/>
        </w:rPr>
        <w:t>PUC licensing of CSPs and if that said license has any customer data stipulations.</w:t>
      </w:r>
    </w:p>
    <w:p w:rsidR="00490D7E" w:rsidRPr="00490D7E" w:rsidRDefault="00490D7E" w:rsidP="00490D7E">
      <w:pPr>
        <w:numPr>
          <w:ilvl w:val="1"/>
          <w:numId w:val="4"/>
        </w:numPr>
        <w:rPr>
          <w:rFonts w:ascii="Arial" w:hAnsi="Arial" w:cs="Arial"/>
          <w:color w:val="0070C0"/>
          <w:sz w:val="22"/>
          <w:szCs w:val="22"/>
        </w:rPr>
      </w:pPr>
      <w:r w:rsidRPr="00490D7E">
        <w:rPr>
          <w:rFonts w:ascii="Arial" w:hAnsi="Arial" w:cs="Arial"/>
          <w:color w:val="0070C0"/>
          <w:sz w:val="22"/>
          <w:szCs w:val="22"/>
        </w:rPr>
        <w:t xml:space="preserve">Assumption is that </w:t>
      </w:r>
      <w:r w:rsidR="004D3F8D">
        <w:rPr>
          <w:rFonts w:ascii="Arial" w:hAnsi="Arial" w:cs="Arial"/>
          <w:color w:val="0070C0"/>
          <w:sz w:val="22"/>
          <w:szCs w:val="22"/>
        </w:rPr>
        <w:t xml:space="preserve">WPWG is </w:t>
      </w:r>
      <w:r w:rsidRPr="00490D7E">
        <w:rPr>
          <w:rFonts w:ascii="Arial" w:hAnsi="Arial" w:cs="Arial"/>
          <w:color w:val="0070C0"/>
          <w:sz w:val="22"/>
          <w:szCs w:val="22"/>
        </w:rPr>
        <w:t xml:space="preserve">just talking about CSPs in addition to EGSs, and </w:t>
      </w:r>
      <w:proofErr w:type="spellStart"/>
      <w:r w:rsidRPr="00490D7E">
        <w:rPr>
          <w:rFonts w:ascii="Arial" w:hAnsi="Arial" w:cs="Arial"/>
          <w:color w:val="0070C0"/>
          <w:sz w:val="22"/>
          <w:szCs w:val="22"/>
        </w:rPr>
        <w:t>not</w:t>
      </w:r>
      <w:proofErr w:type="spellEnd"/>
      <w:r w:rsidRPr="00490D7E">
        <w:rPr>
          <w:rFonts w:ascii="Arial" w:hAnsi="Arial" w:cs="Arial"/>
          <w:color w:val="0070C0"/>
          <w:sz w:val="22"/>
          <w:szCs w:val="22"/>
        </w:rPr>
        <w:t xml:space="preserve"> other unlicensed third party entities.</w:t>
      </w:r>
    </w:p>
    <w:p w:rsidR="00490D7E" w:rsidRPr="00490D7E" w:rsidRDefault="004D3F8D" w:rsidP="00490D7E">
      <w:pPr>
        <w:numPr>
          <w:ilvl w:val="1"/>
          <w:numId w:val="4"/>
        </w:numPr>
        <w:rPr>
          <w:rFonts w:ascii="Arial" w:hAnsi="Arial" w:cs="Arial"/>
          <w:color w:val="0070C0"/>
          <w:sz w:val="22"/>
          <w:szCs w:val="22"/>
        </w:rPr>
      </w:pPr>
      <w:r>
        <w:rPr>
          <w:rFonts w:ascii="Arial" w:hAnsi="Arial" w:cs="Arial"/>
          <w:color w:val="0070C0"/>
          <w:sz w:val="22"/>
          <w:szCs w:val="22"/>
        </w:rPr>
        <w:t>The WPWG must have very clear definitions of the</w:t>
      </w:r>
      <w:r w:rsidR="00490D7E" w:rsidRPr="00490D7E">
        <w:rPr>
          <w:rFonts w:ascii="Arial" w:hAnsi="Arial" w:cs="Arial"/>
          <w:color w:val="0070C0"/>
          <w:sz w:val="22"/>
          <w:szCs w:val="22"/>
        </w:rPr>
        <w:t xml:space="preserve"> term </w:t>
      </w:r>
      <w:r>
        <w:rPr>
          <w:rFonts w:ascii="Arial" w:hAnsi="Arial" w:cs="Arial"/>
          <w:color w:val="0070C0"/>
          <w:sz w:val="22"/>
          <w:szCs w:val="22"/>
        </w:rPr>
        <w:t>“</w:t>
      </w:r>
      <w:r w:rsidR="00490D7E" w:rsidRPr="00490D7E">
        <w:rPr>
          <w:rFonts w:ascii="Arial" w:hAnsi="Arial" w:cs="Arial"/>
          <w:color w:val="0070C0"/>
          <w:sz w:val="22"/>
          <w:szCs w:val="22"/>
        </w:rPr>
        <w:t>CSPs</w:t>
      </w:r>
      <w:r>
        <w:rPr>
          <w:rFonts w:ascii="Arial" w:hAnsi="Arial" w:cs="Arial"/>
          <w:color w:val="0070C0"/>
          <w:sz w:val="22"/>
          <w:szCs w:val="22"/>
        </w:rPr>
        <w:t>”</w:t>
      </w:r>
      <w:r w:rsidR="00490D7E" w:rsidRPr="00490D7E">
        <w:rPr>
          <w:rFonts w:ascii="Arial" w:hAnsi="Arial" w:cs="Arial"/>
          <w:color w:val="0070C0"/>
          <w:sz w:val="22"/>
          <w:szCs w:val="22"/>
        </w:rPr>
        <w:t xml:space="preserve"> – </w:t>
      </w:r>
      <w:r>
        <w:rPr>
          <w:rFonts w:ascii="Arial" w:hAnsi="Arial" w:cs="Arial"/>
          <w:color w:val="0070C0"/>
          <w:sz w:val="22"/>
          <w:szCs w:val="22"/>
        </w:rPr>
        <w:t xml:space="preserve">PECO is familiar with </w:t>
      </w:r>
      <w:r w:rsidR="00490D7E" w:rsidRPr="00490D7E">
        <w:rPr>
          <w:rFonts w:ascii="Arial" w:hAnsi="Arial" w:cs="Arial"/>
          <w:color w:val="0070C0"/>
          <w:sz w:val="22"/>
          <w:szCs w:val="22"/>
        </w:rPr>
        <w:t>two interpretations, one as “conservation service provider” (believe is the PUC term – includes energy efficiency) and one as “curtailment service providers” (PJM term – refers to entities providing demand response and load management services).</w:t>
      </w:r>
    </w:p>
    <w:p w:rsidR="00260B8C" w:rsidRPr="0031739C" w:rsidRDefault="00260B8C" w:rsidP="00260B8C">
      <w:pPr>
        <w:rPr>
          <w:rFonts w:ascii="Arial" w:hAnsi="Arial" w:cs="Arial"/>
          <w:color w:val="0070C0"/>
          <w:sz w:val="22"/>
          <w:szCs w:val="22"/>
        </w:rPr>
      </w:pPr>
    </w:p>
    <w:p w:rsidR="006A43A9" w:rsidRPr="0031739C" w:rsidRDefault="006A43A9" w:rsidP="006A43A9">
      <w:pPr>
        <w:ind w:left="2160"/>
        <w:rPr>
          <w:rFonts w:ascii="Arial" w:hAnsi="Arial" w:cs="Arial"/>
          <w:color w:val="0070C0"/>
          <w:sz w:val="22"/>
          <w:szCs w:val="22"/>
        </w:rPr>
      </w:pPr>
    </w:p>
    <w:p w:rsidR="0031739C" w:rsidRPr="0031739C" w:rsidRDefault="0031739C" w:rsidP="006A43A9">
      <w:pPr>
        <w:ind w:left="2160"/>
        <w:rPr>
          <w:rFonts w:ascii="Arial" w:hAnsi="Arial" w:cs="Arial"/>
          <w:color w:val="0070C0"/>
          <w:sz w:val="22"/>
          <w:szCs w:val="22"/>
        </w:rPr>
      </w:pPr>
    </w:p>
    <w:p w:rsidR="0031739C" w:rsidRPr="0031739C" w:rsidRDefault="0031739C" w:rsidP="006A43A9">
      <w:pPr>
        <w:ind w:left="2160"/>
        <w:rPr>
          <w:rFonts w:ascii="Arial" w:hAnsi="Arial" w:cs="Arial"/>
          <w:color w:val="0070C0"/>
          <w:sz w:val="22"/>
          <w:szCs w:val="22"/>
        </w:rPr>
      </w:pPr>
    </w:p>
    <w:p w:rsidR="0031739C" w:rsidRPr="0031739C" w:rsidRDefault="00321DE2" w:rsidP="00490D7E">
      <w:pPr>
        <w:numPr>
          <w:ilvl w:val="0"/>
          <w:numId w:val="8"/>
        </w:numPr>
        <w:rPr>
          <w:rFonts w:ascii="Arial" w:hAnsi="Arial" w:cs="Arial"/>
          <w:color w:val="0070C0"/>
          <w:sz w:val="22"/>
          <w:szCs w:val="22"/>
        </w:rPr>
      </w:pPr>
      <w:r>
        <w:rPr>
          <w:rFonts w:ascii="Arial" w:hAnsi="Arial" w:cs="Arial"/>
          <w:color w:val="0070C0"/>
          <w:sz w:val="22"/>
          <w:szCs w:val="22"/>
        </w:rPr>
        <w:t>The c</w:t>
      </w:r>
      <w:r w:rsidR="0031739C" w:rsidRPr="0031739C">
        <w:rPr>
          <w:rFonts w:ascii="Arial" w:hAnsi="Arial" w:cs="Arial"/>
          <w:color w:val="0070C0"/>
          <w:sz w:val="22"/>
          <w:szCs w:val="22"/>
        </w:rPr>
        <w:t>redentials discussion during the 1/2</w:t>
      </w:r>
      <w:r w:rsidR="00EC5A84">
        <w:rPr>
          <w:rFonts w:ascii="Arial" w:hAnsi="Arial" w:cs="Arial"/>
          <w:color w:val="0070C0"/>
          <w:sz w:val="22"/>
          <w:szCs w:val="22"/>
        </w:rPr>
        <w:t>2</w:t>
      </w:r>
      <w:r w:rsidR="0031739C" w:rsidRPr="0031739C">
        <w:rPr>
          <w:rFonts w:ascii="Arial" w:hAnsi="Arial" w:cs="Arial"/>
          <w:color w:val="0070C0"/>
          <w:sz w:val="22"/>
          <w:szCs w:val="22"/>
        </w:rPr>
        <w:t xml:space="preserve"> meeting reversed a previous consensus of one credential per organization.   This was mainly in part due to the concern one credential could be shared across tens or hundreds of people within an organization and its vendors / contractors.    This could result in unauthorized access should a single party depart the organization.   Therefore the preference shifted towards either multiple credentials managed by the EDC or a single ‘super user’ for each organization who would manage/coordinate its users.</w:t>
      </w:r>
    </w:p>
    <w:p w:rsidR="0031739C" w:rsidRDefault="003C0CF1" w:rsidP="00490D7E">
      <w:pPr>
        <w:numPr>
          <w:ilvl w:val="2"/>
          <w:numId w:val="8"/>
        </w:numPr>
        <w:rPr>
          <w:rFonts w:ascii="Arial" w:hAnsi="Arial" w:cs="Arial"/>
          <w:color w:val="0070C0"/>
          <w:sz w:val="22"/>
          <w:szCs w:val="22"/>
        </w:rPr>
      </w:pPr>
      <w:r>
        <w:rPr>
          <w:rFonts w:ascii="Arial" w:hAnsi="Arial" w:cs="Arial"/>
          <w:color w:val="0070C0"/>
          <w:sz w:val="22"/>
          <w:szCs w:val="22"/>
        </w:rPr>
        <w:t>PECO is adding t</w:t>
      </w:r>
      <w:r w:rsidR="0031739C" w:rsidRPr="0031739C">
        <w:rPr>
          <w:rFonts w:ascii="Arial" w:hAnsi="Arial" w:cs="Arial"/>
          <w:color w:val="0070C0"/>
          <w:sz w:val="22"/>
          <w:szCs w:val="22"/>
        </w:rPr>
        <w:t>he three options to the Solutions Framework and the group will attempt to obtain consensus on which option will be the recommended method.</w:t>
      </w:r>
    </w:p>
    <w:p w:rsidR="0031739C" w:rsidRPr="0031739C" w:rsidRDefault="0031739C" w:rsidP="00490D7E">
      <w:pPr>
        <w:numPr>
          <w:ilvl w:val="2"/>
          <w:numId w:val="8"/>
        </w:numPr>
        <w:rPr>
          <w:rFonts w:ascii="Arial" w:hAnsi="Arial" w:cs="Arial"/>
          <w:color w:val="0070C0"/>
          <w:sz w:val="22"/>
          <w:szCs w:val="22"/>
        </w:rPr>
      </w:pPr>
      <w:r>
        <w:rPr>
          <w:rFonts w:ascii="Arial" w:hAnsi="Arial" w:cs="Arial"/>
          <w:color w:val="0070C0"/>
          <w:sz w:val="22"/>
          <w:szCs w:val="22"/>
        </w:rPr>
        <w:t xml:space="preserve">As a side note, the discussion of ‘voting’ was brought up.   For the past 14 years the EDEWG has functioned under a consensus type of structure.   In the event of non-consensus, there will be documentation made for each ‘side’ of the issue which will be escalated to OCMO for further action.   </w:t>
      </w:r>
      <w:r w:rsidR="00321DE2">
        <w:rPr>
          <w:rFonts w:ascii="Arial" w:hAnsi="Arial" w:cs="Arial"/>
          <w:color w:val="0070C0"/>
          <w:sz w:val="22"/>
          <w:szCs w:val="22"/>
        </w:rPr>
        <w:t>EDEWG has</w:t>
      </w:r>
      <w:r>
        <w:rPr>
          <w:rFonts w:ascii="Arial" w:hAnsi="Arial" w:cs="Arial"/>
          <w:color w:val="0070C0"/>
          <w:sz w:val="22"/>
          <w:szCs w:val="22"/>
        </w:rPr>
        <w:t xml:space="preserve"> no formal voting process in place</w:t>
      </w:r>
      <w:r w:rsidR="00321DE2">
        <w:rPr>
          <w:rFonts w:ascii="Arial" w:hAnsi="Arial" w:cs="Arial"/>
          <w:color w:val="0070C0"/>
          <w:sz w:val="22"/>
          <w:szCs w:val="22"/>
        </w:rPr>
        <w:t>, nor any guidelines or direction to do so.</w:t>
      </w:r>
    </w:p>
    <w:p w:rsidR="0031739C" w:rsidRDefault="0031739C" w:rsidP="005B5103">
      <w:pPr>
        <w:ind w:left="1440"/>
        <w:rPr>
          <w:rFonts w:ascii="Arial" w:hAnsi="Arial" w:cs="Arial"/>
          <w:color w:val="0070C0"/>
          <w:sz w:val="22"/>
          <w:szCs w:val="22"/>
        </w:rPr>
      </w:pPr>
    </w:p>
    <w:p w:rsidR="0031739C" w:rsidRDefault="00321DE2" w:rsidP="00490D7E">
      <w:pPr>
        <w:numPr>
          <w:ilvl w:val="0"/>
          <w:numId w:val="8"/>
        </w:numPr>
        <w:rPr>
          <w:rFonts w:ascii="Arial" w:hAnsi="Arial" w:cs="Arial"/>
          <w:color w:val="0070C0"/>
          <w:sz w:val="22"/>
          <w:szCs w:val="22"/>
        </w:rPr>
      </w:pPr>
      <w:r>
        <w:rPr>
          <w:rFonts w:ascii="Arial" w:hAnsi="Arial" w:cs="Arial"/>
          <w:color w:val="0070C0"/>
          <w:sz w:val="22"/>
          <w:szCs w:val="22"/>
        </w:rPr>
        <w:t>There were discussions during the 1/2</w:t>
      </w:r>
      <w:r w:rsidR="00EC5A84">
        <w:rPr>
          <w:rFonts w:ascii="Arial" w:hAnsi="Arial" w:cs="Arial"/>
          <w:color w:val="0070C0"/>
          <w:sz w:val="22"/>
          <w:szCs w:val="22"/>
        </w:rPr>
        <w:t>2</w:t>
      </w:r>
      <w:r>
        <w:rPr>
          <w:rFonts w:ascii="Arial" w:hAnsi="Arial" w:cs="Arial"/>
          <w:color w:val="0070C0"/>
          <w:sz w:val="22"/>
          <w:szCs w:val="22"/>
        </w:rPr>
        <w:t xml:space="preserve"> meeting relative to the overall solution framework and how other states (specifically TX) make smart meter data available. </w:t>
      </w:r>
      <w:r w:rsidR="0031739C" w:rsidRPr="0031739C">
        <w:rPr>
          <w:rFonts w:ascii="Arial" w:hAnsi="Arial" w:cs="Arial"/>
          <w:color w:val="0070C0"/>
          <w:sz w:val="22"/>
          <w:szCs w:val="22"/>
        </w:rPr>
        <w:t xml:space="preserve"> </w:t>
      </w:r>
      <w:r>
        <w:rPr>
          <w:rFonts w:ascii="Arial" w:hAnsi="Arial" w:cs="Arial"/>
          <w:color w:val="0070C0"/>
          <w:sz w:val="22"/>
          <w:szCs w:val="22"/>
        </w:rPr>
        <w:t xml:space="preserve">In prior discussions, the WPWG stated such expanded solutions would be </w:t>
      </w:r>
      <w:r w:rsidR="00490D7E">
        <w:rPr>
          <w:rFonts w:ascii="Arial" w:hAnsi="Arial" w:cs="Arial"/>
          <w:color w:val="0070C0"/>
          <w:sz w:val="22"/>
          <w:szCs w:val="22"/>
        </w:rPr>
        <w:t>a ‘premium service’ possibility above and beyond the core foundation of the solution.</w:t>
      </w:r>
    </w:p>
    <w:p w:rsidR="00490D7E" w:rsidRDefault="00321DE2" w:rsidP="00490D7E">
      <w:pPr>
        <w:numPr>
          <w:ilvl w:val="1"/>
          <w:numId w:val="8"/>
        </w:numPr>
        <w:rPr>
          <w:rFonts w:ascii="Arial" w:hAnsi="Arial" w:cs="Arial"/>
          <w:color w:val="0070C0"/>
          <w:sz w:val="22"/>
          <w:szCs w:val="22"/>
        </w:rPr>
      </w:pPr>
      <w:r>
        <w:rPr>
          <w:rFonts w:ascii="Arial" w:hAnsi="Arial" w:cs="Arial"/>
          <w:color w:val="0070C0"/>
          <w:sz w:val="22"/>
          <w:szCs w:val="22"/>
        </w:rPr>
        <w:t>Joe Bisti (PECO) stated</w:t>
      </w:r>
      <w:r w:rsidR="00490D7E">
        <w:rPr>
          <w:rFonts w:ascii="Arial" w:hAnsi="Arial" w:cs="Arial"/>
          <w:color w:val="0070C0"/>
          <w:sz w:val="22"/>
          <w:szCs w:val="22"/>
        </w:rPr>
        <w:t xml:space="preserve"> the</w:t>
      </w:r>
      <w:r>
        <w:rPr>
          <w:rFonts w:ascii="Arial" w:hAnsi="Arial" w:cs="Arial"/>
          <w:color w:val="0070C0"/>
          <w:sz w:val="22"/>
          <w:szCs w:val="22"/>
        </w:rPr>
        <w:t xml:space="preserve"> </w:t>
      </w:r>
      <w:r w:rsidR="00490D7E" w:rsidRPr="00490D7E">
        <w:rPr>
          <w:rFonts w:ascii="Arial" w:hAnsi="Arial" w:cs="Arial"/>
          <w:color w:val="0070C0"/>
          <w:sz w:val="22"/>
          <w:szCs w:val="22"/>
        </w:rPr>
        <w:t>EDC mandate is to provide access to the data, per the PUC order.   The order does not specify the services associated with “access” – That is for the WPWG to decide.</w:t>
      </w:r>
    </w:p>
    <w:p w:rsidR="00490D7E" w:rsidRPr="00490D7E" w:rsidRDefault="00490D7E" w:rsidP="00490D7E">
      <w:pPr>
        <w:numPr>
          <w:ilvl w:val="2"/>
          <w:numId w:val="8"/>
        </w:numPr>
        <w:rPr>
          <w:rFonts w:ascii="Arial" w:hAnsi="Arial" w:cs="Arial"/>
          <w:color w:val="0070C0"/>
          <w:sz w:val="22"/>
          <w:szCs w:val="22"/>
        </w:rPr>
      </w:pPr>
      <w:r w:rsidRPr="00490D7E">
        <w:rPr>
          <w:rFonts w:ascii="Arial" w:hAnsi="Arial" w:cs="Arial"/>
          <w:color w:val="0070C0"/>
          <w:sz w:val="22"/>
          <w:szCs w:val="22"/>
        </w:rPr>
        <w:t xml:space="preserve">From a utility perspective, providing an EGS (or CSP) with access to the data can be very simple and easily exclude what could be considered “premium” services that involve additional infrastructure investment and ongoing transaction costs – for instance, “subscription services” customized to portal users that would necessitate the EDCs “pushing” some data feed, customized or otherwise, to EGSs/CSPs as opposed to EGSs/CSPs “pulling” (downloading) the data that they have access to in a standard format.  </w:t>
      </w:r>
      <w:r w:rsidR="004D3F8D">
        <w:rPr>
          <w:rFonts w:ascii="Arial" w:hAnsi="Arial" w:cs="Arial"/>
          <w:color w:val="0070C0"/>
          <w:sz w:val="22"/>
          <w:szCs w:val="22"/>
        </w:rPr>
        <w:t>PECO</w:t>
      </w:r>
      <w:r w:rsidRPr="00490D7E">
        <w:rPr>
          <w:rFonts w:ascii="Arial" w:hAnsi="Arial" w:cs="Arial"/>
          <w:color w:val="0070C0"/>
          <w:sz w:val="22"/>
          <w:szCs w:val="22"/>
        </w:rPr>
        <w:t xml:space="preserve"> believe</w:t>
      </w:r>
      <w:r w:rsidR="004D3F8D">
        <w:rPr>
          <w:rFonts w:ascii="Arial" w:hAnsi="Arial" w:cs="Arial"/>
          <w:color w:val="0070C0"/>
          <w:sz w:val="22"/>
          <w:szCs w:val="22"/>
        </w:rPr>
        <w:t>s</w:t>
      </w:r>
      <w:r w:rsidRPr="00490D7E">
        <w:rPr>
          <w:rFonts w:ascii="Arial" w:hAnsi="Arial" w:cs="Arial"/>
          <w:color w:val="0070C0"/>
          <w:sz w:val="22"/>
          <w:szCs w:val="22"/>
        </w:rPr>
        <w:t xml:space="preserve"> the former would be a “premium” service going above and beyond the order’s mandate and that the EDCs should </w:t>
      </w:r>
      <w:r w:rsidR="004D3F8D">
        <w:rPr>
          <w:rFonts w:ascii="Arial" w:hAnsi="Arial" w:cs="Arial"/>
          <w:color w:val="0070C0"/>
          <w:sz w:val="22"/>
          <w:szCs w:val="22"/>
        </w:rPr>
        <w:t>be entitled to consider charging</w:t>
      </w:r>
      <w:r w:rsidRPr="00490D7E">
        <w:rPr>
          <w:rFonts w:ascii="Arial" w:hAnsi="Arial" w:cs="Arial"/>
          <w:color w:val="0070C0"/>
          <w:sz w:val="22"/>
          <w:szCs w:val="22"/>
        </w:rPr>
        <w:t xml:space="preserve"> EGSs for such a service, for which </w:t>
      </w:r>
      <w:r w:rsidR="004D3F8D">
        <w:rPr>
          <w:rFonts w:ascii="Arial" w:hAnsi="Arial" w:cs="Arial"/>
          <w:color w:val="0070C0"/>
          <w:sz w:val="22"/>
          <w:szCs w:val="22"/>
        </w:rPr>
        <w:t>the WPWG may need to</w:t>
      </w:r>
      <w:r w:rsidRPr="00490D7E">
        <w:rPr>
          <w:rFonts w:ascii="Arial" w:hAnsi="Arial" w:cs="Arial"/>
          <w:color w:val="0070C0"/>
          <w:sz w:val="22"/>
          <w:szCs w:val="22"/>
        </w:rPr>
        <w:t xml:space="preserve"> develop a standard </w:t>
      </w:r>
      <w:r w:rsidRPr="00490D7E">
        <w:rPr>
          <w:rFonts w:ascii="Arial" w:hAnsi="Arial" w:cs="Arial"/>
          <w:color w:val="0070C0"/>
          <w:sz w:val="22"/>
          <w:szCs w:val="22"/>
          <w:u w:val="single"/>
        </w:rPr>
        <w:t>to be used by those who choose to offer it</w:t>
      </w:r>
      <w:r w:rsidRPr="00490D7E">
        <w:rPr>
          <w:rFonts w:ascii="Arial" w:hAnsi="Arial" w:cs="Arial"/>
          <w:color w:val="0070C0"/>
          <w:sz w:val="22"/>
          <w:szCs w:val="22"/>
        </w:rPr>
        <w:t xml:space="preserve"> – but not every EDC may choose to offer that service </w:t>
      </w:r>
      <w:r w:rsidRPr="00490D7E">
        <w:rPr>
          <w:rFonts w:ascii="Arial" w:hAnsi="Arial" w:cs="Arial"/>
          <w:color w:val="0070C0"/>
          <w:sz w:val="22"/>
          <w:szCs w:val="22"/>
        </w:rPr>
        <w:lastRenderedPageBreak/>
        <w:t xml:space="preserve">because of its “premium” nature.  (All EDCs should offer what </w:t>
      </w:r>
      <w:r w:rsidR="004D3F8D">
        <w:rPr>
          <w:rFonts w:ascii="Arial" w:hAnsi="Arial" w:cs="Arial"/>
          <w:color w:val="0070C0"/>
          <w:sz w:val="22"/>
          <w:szCs w:val="22"/>
        </w:rPr>
        <w:t xml:space="preserve">the WPWG </w:t>
      </w:r>
      <w:r w:rsidRPr="00490D7E">
        <w:rPr>
          <w:rFonts w:ascii="Arial" w:hAnsi="Arial" w:cs="Arial"/>
          <w:color w:val="0070C0"/>
          <w:sz w:val="22"/>
          <w:szCs w:val="22"/>
        </w:rPr>
        <w:t>decide</w:t>
      </w:r>
      <w:r w:rsidR="004D3F8D">
        <w:rPr>
          <w:rFonts w:ascii="Arial" w:hAnsi="Arial" w:cs="Arial"/>
          <w:color w:val="0070C0"/>
          <w:sz w:val="22"/>
          <w:szCs w:val="22"/>
        </w:rPr>
        <w:t>s</w:t>
      </w:r>
      <w:r w:rsidRPr="00490D7E">
        <w:rPr>
          <w:rFonts w:ascii="Arial" w:hAnsi="Arial" w:cs="Arial"/>
          <w:color w:val="0070C0"/>
          <w:sz w:val="22"/>
          <w:szCs w:val="22"/>
        </w:rPr>
        <w:t xml:space="preserve"> on as “foundational” services, such as the EGS-pull request/response model that </w:t>
      </w:r>
      <w:r w:rsidR="004D3F8D">
        <w:rPr>
          <w:rFonts w:ascii="Arial" w:hAnsi="Arial" w:cs="Arial"/>
          <w:color w:val="0070C0"/>
          <w:sz w:val="22"/>
          <w:szCs w:val="22"/>
        </w:rPr>
        <w:t>the group has</w:t>
      </w:r>
      <w:r w:rsidRPr="00490D7E">
        <w:rPr>
          <w:rFonts w:ascii="Arial" w:hAnsi="Arial" w:cs="Arial"/>
          <w:color w:val="0070C0"/>
          <w:sz w:val="22"/>
          <w:szCs w:val="22"/>
        </w:rPr>
        <w:t xml:space="preserve"> talked about up to this point.) </w:t>
      </w:r>
    </w:p>
    <w:p w:rsidR="00D422D5" w:rsidRDefault="004D3F8D" w:rsidP="00D422D5">
      <w:pPr>
        <w:numPr>
          <w:ilvl w:val="2"/>
          <w:numId w:val="8"/>
        </w:numPr>
        <w:rPr>
          <w:rFonts w:ascii="Arial" w:hAnsi="Arial" w:cs="Arial"/>
          <w:color w:val="0070C0"/>
          <w:sz w:val="22"/>
          <w:szCs w:val="22"/>
        </w:rPr>
      </w:pPr>
      <w:r>
        <w:rPr>
          <w:rFonts w:ascii="Arial" w:hAnsi="Arial" w:cs="Arial"/>
          <w:color w:val="0070C0"/>
          <w:sz w:val="22"/>
          <w:szCs w:val="22"/>
        </w:rPr>
        <w:t>PECO</w:t>
      </w:r>
      <w:r w:rsidR="00490D7E">
        <w:rPr>
          <w:rFonts w:ascii="Arial" w:hAnsi="Arial" w:cs="Arial"/>
          <w:color w:val="0070C0"/>
          <w:sz w:val="22"/>
          <w:szCs w:val="22"/>
        </w:rPr>
        <w:t xml:space="preserve"> believes </w:t>
      </w:r>
      <w:r>
        <w:rPr>
          <w:rFonts w:ascii="Arial" w:hAnsi="Arial" w:cs="Arial"/>
          <w:color w:val="0070C0"/>
          <w:sz w:val="22"/>
          <w:szCs w:val="22"/>
        </w:rPr>
        <w:t xml:space="preserve">that the WPWG </w:t>
      </w:r>
      <w:r w:rsidR="00490D7E">
        <w:rPr>
          <w:rFonts w:ascii="Arial" w:hAnsi="Arial" w:cs="Arial"/>
          <w:color w:val="0070C0"/>
          <w:sz w:val="22"/>
          <w:szCs w:val="22"/>
        </w:rPr>
        <w:t xml:space="preserve">as a group </w:t>
      </w:r>
      <w:r w:rsidR="00490D7E" w:rsidRPr="00490D7E">
        <w:rPr>
          <w:rFonts w:ascii="Arial" w:hAnsi="Arial" w:cs="Arial"/>
          <w:color w:val="0070C0"/>
          <w:sz w:val="22"/>
          <w:szCs w:val="22"/>
        </w:rPr>
        <w:t>need</w:t>
      </w:r>
      <w:r w:rsidR="00490D7E">
        <w:rPr>
          <w:rFonts w:ascii="Arial" w:hAnsi="Arial" w:cs="Arial"/>
          <w:color w:val="0070C0"/>
          <w:sz w:val="22"/>
          <w:szCs w:val="22"/>
        </w:rPr>
        <w:t>s</w:t>
      </w:r>
      <w:r w:rsidR="00490D7E" w:rsidRPr="00490D7E">
        <w:rPr>
          <w:rFonts w:ascii="Arial" w:hAnsi="Arial" w:cs="Arial"/>
          <w:color w:val="0070C0"/>
          <w:sz w:val="22"/>
          <w:szCs w:val="22"/>
        </w:rPr>
        <w:t xml:space="preserve"> to </w:t>
      </w:r>
      <w:r>
        <w:rPr>
          <w:rFonts w:ascii="Arial" w:hAnsi="Arial" w:cs="Arial"/>
          <w:color w:val="0070C0"/>
          <w:sz w:val="22"/>
          <w:szCs w:val="22"/>
        </w:rPr>
        <w:t xml:space="preserve">attempt to come to </w:t>
      </w:r>
      <w:r w:rsidR="00490D7E" w:rsidRPr="00490D7E">
        <w:rPr>
          <w:rFonts w:ascii="Arial" w:hAnsi="Arial" w:cs="Arial"/>
          <w:color w:val="0070C0"/>
          <w:sz w:val="22"/>
          <w:szCs w:val="22"/>
        </w:rPr>
        <w:t xml:space="preserve">consensus in terms of services considered what </w:t>
      </w:r>
      <w:r>
        <w:rPr>
          <w:rFonts w:ascii="Arial" w:hAnsi="Arial" w:cs="Arial"/>
          <w:color w:val="0070C0"/>
          <w:sz w:val="22"/>
          <w:szCs w:val="22"/>
        </w:rPr>
        <w:t>PECO</w:t>
      </w:r>
      <w:r w:rsidR="00490D7E" w:rsidRPr="00490D7E">
        <w:rPr>
          <w:rFonts w:ascii="Arial" w:hAnsi="Arial" w:cs="Arial"/>
          <w:color w:val="0070C0"/>
          <w:sz w:val="22"/>
          <w:szCs w:val="22"/>
        </w:rPr>
        <w:t xml:space="preserve"> call</w:t>
      </w:r>
      <w:r>
        <w:rPr>
          <w:rFonts w:ascii="Arial" w:hAnsi="Arial" w:cs="Arial"/>
          <w:color w:val="0070C0"/>
          <w:sz w:val="22"/>
          <w:szCs w:val="22"/>
        </w:rPr>
        <w:t>s</w:t>
      </w:r>
      <w:r w:rsidR="00490D7E" w:rsidRPr="00490D7E">
        <w:rPr>
          <w:rFonts w:ascii="Arial" w:hAnsi="Arial" w:cs="Arial"/>
          <w:color w:val="0070C0"/>
          <w:sz w:val="22"/>
          <w:szCs w:val="22"/>
        </w:rPr>
        <w:t xml:space="preserve"> “foundational” versus those </w:t>
      </w:r>
      <w:proofErr w:type="gramStart"/>
      <w:r>
        <w:rPr>
          <w:rFonts w:ascii="Arial" w:hAnsi="Arial" w:cs="Arial"/>
          <w:color w:val="0070C0"/>
          <w:sz w:val="22"/>
          <w:szCs w:val="22"/>
        </w:rPr>
        <w:t>PECO</w:t>
      </w:r>
      <w:r w:rsidR="00490D7E" w:rsidRPr="00490D7E">
        <w:rPr>
          <w:rFonts w:ascii="Arial" w:hAnsi="Arial" w:cs="Arial"/>
          <w:color w:val="0070C0"/>
          <w:sz w:val="22"/>
          <w:szCs w:val="22"/>
        </w:rPr>
        <w:t xml:space="preserve">  call</w:t>
      </w:r>
      <w:r>
        <w:rPr>
          <w:rFonts w:ascii="Arial" w:hAnsi="Arial" w:cs="Arial"/>
          <w:color w:val="0070C0"/>
          <w:sz w:val="22"/>
          <w:szCs w:val="22"/>
        </w:rPr>
        <w:t>s</w:t>
      </w:r>
      <w:proofErr w:type="gramEnd"/>
      <w:r w:rsidR="00490D7E" w:rsidRPr="00490D7E">
        <w:rPr>
          <w:rFonts w:ascii="Arial" w:hAnsi="Arial" w:cs="Arial"/>
          <w:color w:val="0070C0"/>
          <w:sz w:val="22"/>
          <w:szCs w:val="22"/>
        </w:rPr>
        <w:t xml:space="preserve"> “premium”.  The discussion is largely dependent on how a critical mass of EGSs and CSPs anticipate strategically and tactically using the data they will have access to and the capabilities/requirements they would have in order to do so.  (Given participation level in WPWG and Brandon’s comments that this simply isn’t known yet by the marketplace, </w:t>
      </w:r>
      <w:r>
        <w:rPr>
          <w:rFonts w:ascii="Arial" w:hAnsi="Arial" w:cs="Arial"/>
          <w:color w:val="0070C0"/>
          <w:sz w:val="22"/>
          <w:szCs w:val="22"/>
        </w:rPr>
        <w:t>PECO sees achieving critical mass as a key WPWG challenge</w:t>
      </w:r>
      <w:r w:rsidR="00490D7E" w:rsidRPr="00490D7E">
        <w:rPr>
          <w:rFonts w:ascii="Arial" w:hAnsi="Arial" w:cs="Arial"/>
          <w:color w:val="0070C0"/>
          <w:sz w:val="22"/>
          <w:szCs w:val="22"/>
        </w:rPr>
        <w:t>.)</w:t>
      </w:r>
    </w:p>
    <w:p w:rsidR="00321DE2" w:rsidRPr="00D422D5" w:rsidRDefault="00321DE2" w:rsidP="00D422D5">
      <w:pPr>
        <w:numPr>
          <w:ilvl w:val="2"/>
          <w:numId w:val="8"/>
        </w:numPr>
        <w:rPr>
          <w:rFonts w:ascii="Arial" w:hAnsi="Arial" w:cs="Arial"/>
          <w:color w:val="0070C0"/>
          <w:sz w:val="22"/>
          <w:szCs w:val="22"/>
        </w:rPr>
      </w:pPr>
      <w:r w:rsidRPr="00D422D5">
        <w:rPr>
          <w:rFonts w:ascii="Arial" w:hAnsi="Arial" w:cs="Arial"/>
          <w:color w:val="0070C0"/>
          <w:sz w:val="22"/>
          <w:szCs w:val="22"/>
        </w:rPr>
        <w:t xml:space="preserve">Brandon Siegel (Intelometry) stated he has been contacted by EGS and service providers who are concerned about the direction of the WPWG and the proposed solutions.   Concerns were focused on the need for system to system </w:t>
      </w:r>
      <w:r w:rsidR="00902EFB" w:rsidRPr="00D422D5">
        <w:rPr>
          <w:rFonts w:ascii="Arial" w:hAnsi="Arial" w:cs="Arial"/>
          <w:color w:val="0070C0"/>
          <w:sz w:val="22"/>
          <w:szCs w:val="22"/>
        </w:rPr>
        <w:t>processing;</w:t>
      </w:r>
      <w:r w:rsidRPr="00D422D5">
        <w:rPr>
          <w:rFonts w:ascii="Arial" w:hAnsi="Arial" w:cs="Arial"/>
          <w:color w:val="0070C0"/>
          <w:sz w:val="22"/>
          <w:szCs w:val="22"/>
        </w:rPr>
        <w:t xml:space="preserve"> meter level vs account level detail and </w:t>
      </w:r>
      <w:r w:rsidR="00902EFB" w:rsidRPr="00D422D5">
        <w:rPr>
          <w:rFonts w:ascii="Arial" w:hAnsi="Arial" w:cs="Arial"/>
          <w:color w:val="0070C0"/>
          <w:sz w:val="22"/>
          <w:szCs w:val="22"/>
        </w:rPr>
        <w:t xml:space="preserve">potential daily file limitations.   The state of the industry in 3-5 years when the portal solutions </w:t>
      </w:r>
      <w:r w:rsidR="00D422D5" w:rsidRPr="00D422D5">
        <w:rPr>
          <w:rFonts w:ascii="Arial" w:hAnsi="Arial" w:cs="Arial"/>
          <w:color w:val="0070C0"/>
          <w:sz w:val="22"/>
          <w:szCs w:val="22"/>
        </w:rPr>
        <w:t>are fully live across the State</w:t>
      </w:r>
      <w:r w:rsidR="00902EFB" w:rsidRPr="00D422D5">
        <w:rPr>
          <w:rFonts w:ascii="Arial" w:hAnsi="Arial" w:cs="Arial"/>
          <w:color w:val="0070C0"/>
          <w:sz w:val="22"/>
          <w:szCs w:val="22"/>
        </w:rPr>
        <w:t xml:space="preserve"> could be coherently different than today.   The group should think more outside the box as interval </w:t>
      </w:r>
      <w:r w:rsidR="00D422D5" w:rsidRPr="00D422D5">
        <w:rPr>
          <w:rFonts w:ascii="Arial" w:hAnsi="Arial" w:cs="Arial"/>
          <w:color w:val="0070C0"/>
          <w:sz w:val="22"/>
          <w:szCs w:val="22"/>
        </w:rPr>
        <w:t xml:space="preserve">detail </w:t>
      </w:r>
      <w:r w:rsidR="00902EFB" w:rsidRPr="00D422D5">
        <w:rPr>
          <w:rFonts w:ascii="Arial" w:hAnsi="Arial" w:cs="Arial"/>
          <w:color w:val="0070C0"/>
          <w:sz w:val="22"/>
          <w:szCs w:val="22"/>
        </w:rPr>
        <w:t xml:space="preserve">data </w:t>
      </w:r>
      <w:r w:rsidR="00D422D5" w:rsidRPr="00D422D5">
        <w:rPr>
          <w:rFonts w:ascii="Arial" w:hAnsi="Arial" w:cs="Arial"/>
          <w:color w:val="0070C0"/>
          <w:sz w:val="22"/>
          <w:szCs w:val="22"/>
        </w:rPr>
        <w:t xml:space="preserve">(historical &amp; daily usage) </w:t>
      </w:r>
      <w:r w:rsidR="00902EFB" w:rsidRPr="00D422D5">
        <w:rPr>
          <w:rFonts w:ascii="Arial" w:hAnsi="Arial" w:cs="Arial"/>
          <w:color w:val="0070C0"/>
          <w:sz w:val="22"/>
          <w:szCs w:val="22"/>
        </w:rPr>
        <w:t>may very well be the normal in 3 years.   There could be thousands of requests per day for smart meter data and the solutions being vetted currently are not in support of the perceived high demand for smart meter data.</w:t>
      </w:r>
      <w:r w:rsidR="00D422D5" w:rsidRPr="00D422D5">
        <w:rPr>
          <w:rFonts w:ascii="Arial" w:hAnsi="Arial" w:cs="Arial"/>
          <w:color w:val="0070C0"/>
          <w:sz w:val="22"/>
          <w:szCs w:val="22"/>
        </w:rPr>
        <w:t xml:space="preserve">   By going down the current path, the State of Pennsylvania would deploy outdated technology in 3 years while other states have widely available smart meter data today.</w:t>
      </w:r>
      <w:r w:rsidR="00D422D5">
        <w:rPr>
          <w:rFonts w:ascii="Arial" w:hAnsi="Arial" w:cs="Arial"/>
          <w:color w:val="0070C0"/>
          <w:sz w:val="22"/>
          <w:szCs w:val="22"/>
        </w:rPr>
        <w:t xml:space="preserve">   Brandon agrees the WPWG must make the determination relative to the foundation based on the input from the EGS and CSP community.</w:t>
      </w:r>
    </w:p>
    <w:p w:rsidR="0031739C" w:rsidRDefault="0031739C" w:rsidP="005B5103">
      <w:pPr>
        <w:ind w:left="1440"/>
        <w:rPr>
          <w:rFonts w:ascii="Arial" w:hAnsi="Arial" w:cs="Arial"/>
          <w:color w:val="0070C0"/>
          <w:sz w:val="22"/>
          <w:szCs w:val="22"/>
        </w:rPr>
      </w:pPr>
    </w:p>
    <w:p w:rsidR="003371C0" w:rsidRDefault="003371C0" w:rsidP="005715A5">
      <w:pPr>
        <w:numPr>
          <w:ilvl w:val="0"/>
          <w:numId w:val="1"/>
        </w:numPr>
        <w:rPr>
          <w:rFonts w:ascii="Arial" w:hAnsi="Arial" w:cs="Arial"/>
          <w:sz w:val="32"/>
          <w:szCs w:val="32"/>
        </w:rPr>
      </w:pPr>
      <w:r w:rsidRPr="003371C0">
        <w:rPr>
          <w:rFonts w:ascii="Arial" w:hAnsi="Arial" w:cs="Arial"/>
          <w:sz w:val="32"/>
          <w:szCs w:val="32"/>
        </w:rPr>
        <w:t>Next Steps</w:t>
      </w:r>
      <w:r w:rsidR="004B6A49">
        <w:rPr>
          <w:rFonts w:ascii="Arial" w:hAnsi="Arial" w:cs="Arial"/>
          <w:sz w:val="32"/>
          <w:szCs w:val="32"/>
        </w:rPr>
        <w:t>:</w:t>
      </w:r>
    </w:p>
    <w:p w:rsidR="00C40A61" w:rsidRDefault="00C40A61" w:rsidP="00C40A61">
      <w:pPr>
        <w:rPr>
          <w:rFonts w:ascii="Arial" w:hAnsi="Arial" w:cs="Arial"/>
          <w:sz w:val="32"/>
          <w:szCs w:val="32"/>
        </w:rPr>
      </w:pPr>
    </w:p>
    <w:p w:rsidR="00902EFB" w:rsidRPr="00902EFB" w:rsidRDefault="00902EFB" w:rsidP="00213236">
      <w:pPr>
        <w:ind w:left="720" w:firstLine="720"/>
        <w:rPr>
          <w:rFonts w:ascii="Arial" w:hAnsi="Arial" w:cs="Arial"/>
          <w:b/>
          <w:color w:val="0070C0"/>
          <w:sz w:val="28"/>
          <w:szCs w:val="28"/>
          <w:u w:val="single"/>
        </w:rPr>
      </w:pPr>
      <w:r w:rsidRPr="00902EFB">
        <w:rPr>
          <w:rFonts w:ascii="Arial" w:hAnsi="Arial" w:cs="Arial"/>
          <w:b/>
          <w:color w:val="0070C0"/>
          <w:sz w:val="28"/>
          <w:szCs w:val="28"/>
          <w:u w:val="single"/>
        </w:rPr>
        <w:t xml:space="preserve">**The WPWG will meet </w:t>
      </w:r>
      <w:r w:rsidR="00D422D5">
        <w:rPr>
          <w:rFonts w:ascii="Arial" w:hAnsi="Arial" w:cs="Arial"/>
          <w:b/>
          <w:color w:val="0070C0"/>
          <w:sz w:val="28"/>
          <w:szCs w:val="28"/>
          <w:u w:val="single"/>
        </w:rPr>
        <w:t>weekly</w:t>
      </w:r>
      <w:r w:rsidRPr="00902EFB">
        <w:rPr>
          <w:rFonts w:ascii="Arial" w:hAnsi="Arial" w:cs="Arial"/>
          <w:b/>
          <w:color w:val="0070C0"/>
          <w:sz w:val="28"/>
          <w:szCs w:val="28"/>
          <w:u w:val="single"/>
        </w:rPr>
        <w:t xml:space="preserve"> until further notice**</w:t>
      </w:r>
    </w:p>
    <w:p w:rsidR="00902EFB" w:rsidRDefault="00902EFB" w:rsidP="00213236">
      <w:pPr>
        <w:ind w:left="720" w:firstLine="720"/>
        <w:rPr>
          <w:rFonts w:ascii="Arial" w:hAnsi="Arial" w:cs="Arial"/>
          <w:color w:val="0070C0"/>
          <w:sz w:val="28"/>
          <w:szCs w:val="28"/>
        </w:rPr>
      </w:pPr>
    </w:p>
    <w:p w:rsidR="00902EFB" w:rsidRDefault="00902EFB" w:rsidP="00213236">
      <w:pPr>
        <w:ind w:left="720" w:firstLine="720"/>
        <w:rPr>
          <w:rFonts w:ascii="Arial" w:hAnsi="Arial" w:cs="Arial"/>
          <w:color w:val="0070C0"/>
          <w:sz w:val="28"/>
          <w:szCs w:val="28"/>
        </w:rPr>
      </w:pPr>
    </w:p>
    <w:p w:rsidR="00BC63AE" w:rsidRPr="00902EFB" w:rsidRDefault="006C00D9" w:rsidP="00213236">
      <w:pPr>
        <w:ind w:left="720" w:firstLine="720"/>
        <w:rPr>
          <w:rFonts w:ascii="Arial" w:hAnsi="Arial" w:cs="Arial"/>
          <w:color w:val="0070C0"/>
          <w:sz w:val="28"/>
          <w:szCs w:val="28"/>
        </w:rPr>
      </w:pPr>
      <w:r w:rsidRPr="00902EFB">
        <w:rPr>
          <w:rFonts w:ascii="Arial" w:hAnsi="Arial" w:cs="Arial"/>
          <w:color w:val="0070C0"/>
          <w:sz w:val="28"/>
          <w:szCs w:val="28"/>
        </w:rPr>
        <w:t>Next</w:t>
      </w:r>
      <w:r w:rsidR="003371C0" w:rsidRPr="00902EFB">
        <w:rPr>
          <w:rFonts w:ascii="Arial" w:hAnsi="Arial" w:cs="Arial"/>
          <w:color w:val="0070C0"/>
          <w:sz w:val="28"/>
          <w:szCs w:val="28"/>
        </w:rPr>
        <w:t xml:space="preserve"> meeting</w:t>
      </w:r>
      <w:r w:rsidR="00BC63AE" w:rsidRPr="00902EFB">
        <w:rPr>
          <w:rFonts w:ascii="Arial" w:hAnsi="Arial" w:cs="Arial"/>
          <w:color w:val="0070C0"/>
          <w:sz w:val="28"/>
          <w:szCs w:val="28"/>
        </w:rPr>
        <w:t>s</w:t>
      </w:r>
      <w:r w:rsidR="003E6074" w:rsidRPr="00902EFB">
        <w:rPr>
          <w:rFonts w:ascii="Arial" w:hAnsi="Arial" w:cs="Arial"/>
          <w:color w:val="0070C0"/>
          <w:sz w:val="28"/>
          <w:szCs w:val="28"/>
        </w:rPr>
        <w:t>:</w:t>
      </w:r>
      <w:r w:rsidR="000F7B86" w:rsidRPr="00902EFB">
        <w:rPr>
          <w:rFonts w:ascii="Arial" w:hAnsi="Arial" w:cs="Arial"/>
          <w:color w:val="0070C0"/>
          <w:sz w:val="28"/>
          <w:szCs w:val="28"/>
        </w:rPr>
        <w:t xml:space="preserve"> </w:t>
      </w:r>
      <w:r w:rsidR="000F7B86" w:rsidRPr="00902EFB">
        <w:rPr>
          <w:rFonts w:ascii="Arial" w:hAnsi="Arial" w:cs="Arial"/>
          <w:color w:val="0070C0"/>
          <w:sz w:val="28"/>
          <w:szCs w:val="28"/>
        </w:rPr>
        <w:tab/>
      </w:r>
    </w:p>
    <w:p w:rsidR="00BC63AE" w:rsidRPr="00902EFB" w:rsidRDefault="00BC63AE" w:rsidP="00C40A61">
      <w:pPr>
        <w:rPr>
          <w:rFonts w:ascii="Arial" w:hAnsi="Arial" w:cs="Arial"/>
          <w:color w:val="0070C0"/>
          <w:sz w:val="28"/>
          <w:szCs w:val="28"/>
        </w:rPr>
      </w:pPr>
    </w:p>
    <w:p w:rsidR="00902EFB" w:rsidRPr="00902EFB" w:rsidRDefault="00BC63AE" w:rsidP="00C40A61">
      <w:pPr>
        <w:rPr>
          <w:rFonts w:ascii="Arial" w:hAnsi="Arial" w:cs="Arial"/>
          <w:color w:val="0070C0"/>
          <w:sz w:val="28"/>
          <w:szCs w:val="28"/>
        </w:rPr>
      </w:pPr>
      <w:r w:rsidRPr="00902EFB">
        <w:rPr>
          <w:rFonts w:ascii="Arial" w:hAnsi="Arial" w:cs="Arial"/>
          <w:color w:val="0070C0"/>
          <w:sz w:val="28"/>
          <w:szCs w:val="28"/>
        </w:rPr>
        <w:tab/>
      </w:r>
      <w:r w:rsidRPr="00902EFB">
        <w:rPr>
          <w:rFonts w:ascii="Arial" w:hAnsi="Arial" w:cs="Arial"/>
          <w:color w:val="0070C0"/>
          <w:sz w:val="28"/>
          <w:szCs w:val="28"/>
        </w:rPr>
        <w:tab/>
      </w:r>
      <w:r w:rsidR="0006215D" w:rsidRPr="00902EFB">
        <w:rPr>
          <w:rFonts w:ascii="Arial" w:hAnsi="Arial" w:cs="Arial"/>
          <w:color w:val="0070C0"/>
          <w:sz w:val="28"/>
          <w:szCs w:val="28"/>
        </w:rPr>
        <w:t xml:space="preserve">February </w:t>
      </w:r>
      <w:r w:rsidR="00902EFB" w:rsidRPr="00902EFB">
        <w:rPr>
          <w:rFonts w:ascii="Arial" w:hAnsi="Arial" w:cs="Arial"/>
          <w:color w:val="0070C0"/>
          <w:sz w:val="28"/>
          <w:szCs w:val="28"/>
        </w:rPr>
        <w:t>12</w:t>
      </w:r>
      <w:r w:rsidR="0006215D" w:rsidRPr="00902EFB">
        <w:rPr>
          <w:rFonts w:ascii="Arial" w:hAnsi="Arial" w:cs="Arial"/>
          <w:color w:val="0070C0"/>
          <w:sz w:val="28"/>
          <w:szCs w:val="28"/>
          <w:vertAlign w:val="superscript"/>
        </w:rPr>
        <w:t>th</w:t>
      </w:r>
      <w:r w:rsidR="0006215D" w:rsidRPr="00902EFB">
        <w:rPr>
          <w:rFonts w:ascii="Arial" w:hAnsi="Arial" w:cs="Arial"/>
          <w:color w:val="0070C0"/>
          <w:sz w:val="28"/>
          <w:szCs w:val="28"/>
        </w:rPr>
        <w:t xml:space="preserve"> </w:t>
      </w:r>
      <w:r w:rsidRPr="00902EFB">
        <w:rPr>
          <w:rFonts w:ascii="Arial" w:hAnsi="Arial" w:cs="Arial"/>
          <w:color w:val="0070C0"/>
          <w:sz w:val="28"/>
          <w:szCs w:val="28"/>
        </w:rPr>
        <w:t>@ 2:30pm</w:t>
      </w:r>
    </w:p>
    <w:p w:rsidR="00902EFB" w:rsidRPr="00902EFB" w:rsidRDefault="00902EFB" w:rsidP="00902EFB">
      <w:pPr>
        <w:ind w:left="1440"/>
        <w:rPr>
          <w:rFonts w:ascii="Arial" w:hAnsi="Arial" w:cs="Arial"/>
          <w:color w:val="0070C0"/>
          <w:sz w:val="28"/>
          <w:szCs w:val="28"/>
        </w:rPr>
      </w:pPr>
      <w:r w:rsidRPr="00902EFB">
        <w:rPr>
          <w:rFonts w:ascii="Arial" w:hAnsi="Arial" w:cs="Arial"/>
          <w:color w:val="0070C0"/>
          <w:sz w:val="28"/>
          <w:szCs w:val="28"/>
        </w:rPr>
        <w:t>February 19</w:t>
      </w:r>
      <w:r w:rsidRPr="00902EFB">
        <w:rPr>
          <w:rFonts w:ascii="Arial" w:hAnsi="Arial" w:cs="Arial"/>
          <w:color w:val="0070C0"/>
          <w:sz w:val="28"/>
          <w:szCs w:val="28"/>
          <w:vertAlign w:val="superscript"/>
        </w:rPr>
        <w:t>th</w:t>
      </w:r>
      <w:r w:rsidRPr="00902EFB">
        <w:rPr>
          <w:rFonts w:ascii="Arial" w:hAnsi="Arial" w:cs="Arial"/>
          <w:color w:val="0070C0"/>
          <w:sz w:val="28"/>
          <w:szCs w:val="28"/>
        </w:rPr>
        <w:t xml:space="preserve"> @ 2:30pm</w:t>
      </w:r>
    </w:p>
    <w:p w:rsidR="00902EFB" w:rsidRPr="00902EFB" w:rsidRDefault="00902EFB" w:rsidP="00902EFB">
      <w:pPr>
        <w:ind w:left="1440"/>
        <w:rPr>
          <w:rFonts w:ascii="Arial" w:hAnsi="Arial" w:cs="Arial"/>
          <w:color w:val="0070C0"/>
          <w:sz w:val="28"/>
          <w:szCs w:val="28"/>
        </w:rPr>
      </w:pPr>
      <w:r w:rsidRPr="00902EFB">
        <w:rPr>
          <w:rFonts w:ascii="Arial" w:hAnsi="Arial" w:cs="Arial"/>
          <w:color w:val="0070C0"/>
          <w:sz w:val="28"/>
          <w:szCs w:val="28"/>
        </w:rPr>
        <w:t>February 26</w:t>
      </w:r>
      <w:r w:rsidRPr="00902EFB">
        <w:rPr>
          <w:rFonts w:ascii="Arial" w:hAnsi="Arial" w:cs="Arial"/>
          <w:color w:val="0070C0"/>
          <w:sz w:val="28"/>
          <w:szCs w:val="28"/>
          <w:vertAlign w:val="superscript"/>
        </w:rPr>
        <w:t>th</w:t>
      </w:r>
      <w:r w:rsidRPr="00902EFB">
        <w:rPr>
          <w:rFonts w:ascii="Arial" w:hAnsi="Arial" w:cs="Arial"/>
          <w:color w:val="0070C0"/>
          <w:sz w:val="28"/>
          <w:szCs w:val="28"/>
        </w:rPr>
        <w:t xml:space="preserve"> @ 2:30pm</w:t>
      </w:r>
    </w:p>
    <w:p w:rsidR="000F7B86" w:rsidRPr="00902EFB" w:rsidRDefault="00902EFB" w:rsidP="00902EFB">
      <w:pPr>
        <w:ind w:left="1440"/>
        <w:rPr>
          <w:rFonts w:ascii="Arial" w:hAnsi="Arial" w:cs="Arial"/>
          <w:color w:val="0070C0"/>
          <w:sz w:val="28"/>
          <w:szCs w:val="28"/>
        </w:rPr>
      </w:pPr>
      <w:r w:rsidRPr="00902EFB">
        <w:rPr>
          <w:rFonts w:ascii="Arial" w:hAnsi="Arial" w:cs="Arial"/>
          <w:color w:val="0070C0"/>
          <w:sz w:val="28"/>
          <w:szCs w:val="28"/>
        </w:rPr>
        <w:t>March 5</w:t>
      </w:r>
      <w:r w:rsidRPr="00902EFB">
        <w:rPr>
          <w:rFonts w:ascii="Arial" w:hAnsi="Arial" w:cs="Arial"/>
          <w:color w:val="0070C0"/>
          <w:sz w:val="28"/>
          <w:szCs w:val="28"/>
          <w:vertAlign w:val="superscript"/>
        </w:rPr>
        <w:t xml:space="preserve">th </w:t>
      </w:r>
      <w:r w:rsidRPr="00902EFB">
        <w:rPr>
          <w:rFonts w:ascii="Arial" w:hAnsi="Arial" w:cs="Arial"/>
          <w:color w:val="0070C0"/>
          <w:sz w:val="28"/>
          <w:szCs w:val="28"/>
        </w:rPr>
        <w:t xml:space="preserve">       @ 2:30pm</w:t>
      </w:r>
      <w:r w:rsidR="000F7B86" w:rsidRPr="00902EFB">
        <w:rPr>
          <w:rFonts w:ascii="Arial" w:hAnsi="Arial" w:cs="Arial"/>
          <w:color w:val="0070C0"/>
          <w:sz w:val="28"/>
          <w:szCs w:val="28"/>
        </w:rPr>
        <w:tab/>
      </w:r>
      <w:r w:rsidR="000F7B86" w:rsidRPr="00902EFB">
        <w:rPr>
          <w:rFonts w:ascii="Arial" w:hAnsi="Arial" w:cs="Arial"/>
          <w:color w:val="0070C0"/>
          <w:sz w:val="28"/>
          <w:szCs w:val="28"/>
        </w:rPr>
        <w:tab/>
      </w:r>
      <w:r w:rsidR="000F7B86" w:rsidRPr="00902EFB">
        <w:rPr>
          <w:rFonts w:ascii="Arial" w:hAnsi="Arial" w:cs="Arial"/>
          <w:color w:val="0070C0"/>
          <w:sz w:val="28"/>
          <w:szCs w:val="28"/>
        </w:rPr>
        <w:tab/>
        <w:t xml:space="preserve">  </w:t>
      </w:r>
      <w:r w:rsidR="000F7B86" w:rsidRPr="00902EFB">
        <w:rPr>
          <w:rFonts w:ascii="Arial" w:hAnsi="Arial" w:cs="Arial"/>
          <w:color w:val="0070C0"/>
          <w:sz w:val="28"/>
          <w:szCs w:val="28"/>
        </w:rPr>
        <w:tab/>
      </w:r>
    </w:p>
    <w:p w:rsidR="000A1C76" w:rsidRPr="00902EFB" w:rsidRDefault="000A1C76" w:rsidP="000A1C76">
      <w:pPr>
        <w:ind w:left="2160"/>
        <w:rPr>
          <w:rFonts w:ascii="Arial" w:hAnsi="Arial" w:cs="Arial"/>
          <w:color w:val="0070C0"/>
          <w:sz w:val="28"/>
          <w:szCs w:val="28"/>
        </w:rPr>
      </w:pPr>
    </w:p>
    <w:p w:rsidR="00BC63AE" w:rsidRPr="00902EFB" w:rsidRDefault="00BC63AE" w:rsidP="00BC63AE">
      <w:pPr>
        <w:ind w:left="720" w:firstLine="720"/>
        <w:rPr>
          <w:rFonts w:ascii="Arial" w:hAnsi="Arial" w:cs="Arial"/>
          <w:color w:val="0070C0"/>
          <w:sz w:val="28"/>
          <w:szCs w:val="28"/>
        </w:rPr>
      </w:pPr>
      <w:r w:rsidRPr="00902EFB">
        <w:rPr>
          <w:rFonts w:ascii="Arial" w:hAnsi="Arial" w:cs="Arial"/>
          <w:color w:val="0070C0"/>
          <w:sz w:val="28"/>
          <w:szCs w:val="28"/>
        </w:rPr>
        <w:t>Conference Bridge:</w:t>
      </w:r>
    </w:p>
    <w:p w:rsidR="00BC63AE" w:rsidRPr="00902EFB" w:rsidRDefault="00BC63AE" w:rsidP="00BC63AE">
      <w:pPr>
        <w:ind w:left="720" w:firstLine="720"/>
        <w:rPr>
          <w:rFonts w:ascii="Arial" w:hAnsi="Arial" w:cs="Arial"/>
          <w:color w:val="0070C0"/>
          <w:sz w:val="28"/>
          <w:szCs w:val="28"/>
        </w:rPr>
      </w:pPr>
      <w:r w:rsidRPr="00902EFB">
        <w:rPr>
          <w:rFonts w:ascii="Arial" w:hAnsi="Arial" w:cs="Arial"/>
          <w:color w:val="0070C0"/>
          <w:sz w:val="28"/>
          <w:szCs w:val="28"/>
        </w:rPr>
        <w:t>888-238-2971</w:t>
      </w:r>
    </w:p>
    <w:p w:rsidR="00BC63AE" w:rsidRPr="00902EFB" w:rsidRDefault="00BC63AE" w:rsidP="00BC63AE">
      <w:pPr>
        <w:ind w:left="720" w:firstLine="720"/>
        <w:rPr>
          <w:rFonts w:ascii="Arial" w:hAnsi="Arial" w:cs="Arial"/>
          <w:color w:val="0070C0"/>
          <w:sz w:val="28"/>
          <w:szCs w:val="28"/>
        </w:rPr>
      </w:pPr>
      <w:r w:rsidRPr="00902EFB">
        <w:rPr>
          <w:rFonts w:ascii="Arial" w:hAnsi="Arial" w:cs="Arial"/>
          <w:color w:val="0070C0"/>
          <w:sz w:val="28"/>
          <w:szCs w:val="28"/>
        </w:rPr>
        <w:t>Access Code: 2203616</w:t>
      </w:r>
    </w:p>
    <w:p w:rsidR="000A1C76" w:rsidRPr="002A19B0" w:rsidRDefault="000A1C76" w:rsidP="00C710F1">
      <w:pPr>
        <w:ind w:left="2160"/>
        <w:rPr>
          <w:rFonts w:ascii="Arial" w:hAnsi="Arial" w:cs="Arial"/>
          <w:color w:val="0070C0"/>
          <w:sz w:val="32"/>
          <w:szCs w:val="32"/>
        </w:rPr>
      </w:pPr>
    </w:p>
    <w:sectPr w:rsidR="000A1C76" w:rsidRPr="002A19B0" w:rsidSect="00A240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F4" w:rsidRDefault="007644F4">
      <w:r>
        <w:separator/>
      </w:r>
    </w:p>
  </w:endnote>
  <w:endnote w:type="continuationSeparator" w:id="0">
    <w:p w:rsidR="007644F4" w:rsidRDefault="0076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F4" w:rsidRDefault="007644F4">
      <w:r>
        <w:separator/>
      </w:r>
    </w:p>
  </w:footnote>
  <w:footnote w:type="continuationSeparator" w:id="0">
    <w:p w:rsidR="007644F4" w:rsidRDefault="00764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DE4"/>
    <w:multiLevelType w:val="hybridMultilevel"/>
    <w:tmpl w:val="026A1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AAF6DE9"/>
    <w:multiLevelType w:val="hybridMultilevel"/>
    <w:tmpl w:val="BD4CC4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DD320E"/>
    <w:multiLevelType w:val="hybridMultilevel"/>
    <w:tmpl w:val="226276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84D1C"/>
    <w:multiLevelType w:val="hybridMultilevel"/>
    <w:tmpl w:val="01465B52"/>
    <w:lvl w:ilvl="0" w:tplc="B170CAF0">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E3D15AC"/>
    <w:multiLevelType w:val="hybridMultilevel"/>
    <w:tmpl w:val="758A9C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D968D1"/>
    <w:multiLevelType w:val="hybridMultilevel"/>
    <w:tmpl w:val="1DE2A78A"/>
    <w:lvl w:ilvl="0" w:tplc="CA8C0A80">
      <w:start w:val="717"/>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6C94E82"/>
    <w:multiLevelType w:val="hybridMultilevel"/>
    <w:tmpl w:val="07E63E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6"/>
  </w:num>
  <w:num w:numId="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266F"/>
    <w:rsid w:val="000008AF"/>
    <w:rsid w:val="00000F88"/>
    <w:rsid w:val="00004A2C"/>
    <w:rsid w:val="000060AD"/>
    <w:rsid w:val="00013BA8"/>
    <w:rsid w:val="00014B46"/>
    <w:rsid w:val="000230BC"/>
    <w:rsid w:val="000233F5"/>
    <w:rsid w:val="000270EC"/>
    <w:rsid w:val="00027C1A"/>
    <w:rsid w:val="00030DF8"/>
    <w:rsid w:val="00032AAB"/>
    <w:rsid w:val="00033619"/>
    <w:rsid w:val="00044F5A"/>
    <w:rsid w:val="00051805"/>
    <w:rsid w:val="00051DC8"/>
    <w:rsid w:val="0005213E"/>
    <w:rsid w:val="0005249A"/>
    <w:rsid w:val="0005303B"/>
    <w:rsid w:val="000577BE"/>
    <w:rsid w:val="00057C44"/>
    <w:rsid w:val="000607BB"/>
    <w:rsid w:val="00062090"/>
    <w:rsid w:val="0006215D"/>
    <w:rsid w:val="0006398C"/>
    <w:rsid w:val="00067528"/>
    <w:rsid w:val="00071ECE"/>
    <w:rsid w:val="00073EA2"/>
    <w:rsid w:val="000817C6"/>
    <w:rsid w:val="00081C6F"/>
    <w:rsid w:val="00086620"/>
    <w:rsid w:val="000866CE"/>
    <w:rsid w:val="000A1C76"/>
    <w:rsid w:val="000A3223"/>
    <w:rsid w:val="000A598D"/>
    <w:rsid w:val="000A7991"/>
    <w:rsid w:val="000B67D7"/>
    <w:rsid w:val="000D6564"/>
    <w:rsid w:val="000D680E"/>
    <w:rsid w:val="000E382D"/>
    <w:rsid w:val="000F1B67"/>
    <w:rsid w:val="000F7B86"/>
    <w:rsid w:val="00103848"/>
    <w:rsid w:val="00106F26"/>
    <w:rsid w:val="001119DA"/>
    <w:rsid w:val="0011296C"/>
    <w:rsid w:val="001155F7"/>
    <w:rsid w:val="0012402F"/>
    <w:rsid w:val="001346BE"/>
    <w:rsid w:val="00137116"/>
    <w:rsid w:val="0014082D"/>
    <w:rsid w:val="00140D43"/>
    <w:rsid w:val="001436C9"/>
    <w:rsid w:val="00143B57"/>
    <w:rsid w:val="001463F8"/>
    <w:rsid w:val="00160752"/>
    <w:rsid w:val="00170D0C"/>
    <w:rsid w:val="001750BD"/>
    <w:rsid w:val="00180E00"/>
    <w:rsid w:val="00182E24"/>
    <w:rsid w:val="00185942"/>
    <w:rsid w:val="00185D3A"/>
    <w:rsid w:val="00191728"/>
    <w:rsid w:val="00194B81"/>
    <w:rsid w:val="001978CC"/>
    <w:rsid w:val="001A5F3F"/>
    <w:rsid w:val="001B004A"/>
    <w:rsid w:val="001B381D"/>
    <w:rsid w:val="001C28D5"/>
    <w:rsid w:val="001C3CF5"/>
    <w:rsid w:val="001C68FC"/>
    <w:rsid w:val="001C7242"/>
    <w:rsid w:val="001D4BB0"/>
    <w:rsid w:val="001D56DF"/>
    <w:rsid w:val="001E078E"/>
    <w:rsid w:val="001E07DD"/>
    <w:rsid w:val="001F3077"/>
    <w:rsid w:val="001F7CA8"/>
    <w:rsid w:val="001F7FC8"/>
    <w:rsid w:val="00204C01"/>
    <w:rsid w:val="0020593D"/>
    <w:rsid w:val="00207489"/>
    <w:rsid w:val="0021146E"/>
    <w:rsid w:val="00213236"/>
    <w:rsid w:val="00215057"/>
    <w:rsid w:val="0021624D"/>
    <w:rsid w:val="00221ABF"/>
    <w:rsid w:val="00221E12"/>
    <w:rsid w:val="00223506"/>
    <w:rsid w:val="00225B81"/>
    <w:rsid w:val="0022612A"/>
    <w:rsid w:val="00226320"/>
    <w:rsid w:val="00231546"/>
    <w:rsid w:val="00232AA5"/>
    <w:rsid w:val="00234A20"/>
    <w:rsid w:val="00235AA7"/>
    <w:rsid w:val="002374AB"/>
    <w:rsid w:val="00237CFD"/>
    <w:rsid w:val="00250F2F"/>
    <w:rsid w:val="00260B8C"/>
    <w:rsid w:val="002628E8"/>
    <w:rsid w:val="0027378A"/>
    <w:rsid w:val="002741C7"/>
    <w:rsid w:val="002743EF"/>
    <w:rsid w:val="0027537F"/>
    <w:rsid w:val="00277E24"/>
    <w:rsid w:val="002820DC"/>
    <w:rsid w:val="00287F45"/>
    <w:rsid w:val="00296E24"/>
    <w:rsid w:val="002A19B0"/>
    <w:rsid w:val="002A24F5"/>
    <w:rsid w:val="002A2587"/>
    <w:rsid w:val="002A2CD1"/>
    <w:rsid w:val="002A2FA7"/>
    <w:rsid w:val="002A76B2"/>
    <w:rsid w:val="002B1B83"/>
    <w:rsid w:val="002B269B"/>
    <w:rsid w:val="002B3AB5"/>
    <w:rsid w:val="002C0822"/>
    <w:rsid w:val="002C21EC"/>
    <w:rsid w:val="002C2E7C"/>
    <w:rsid w:val="002C3FA6"/>
    <w:rsid w:val="002C505E"/>
    <w:rsid w:val="002C66E9"/>
    <w:rsid w:val="002D4AF9"/>
    <w:rsid w:val="002E0586"/>
    <w:rsid w:val="002E1865"/>
    <w:rsid w:val="002F6403"/>
    <w:rsid w:val="003008AE"/>
    <w:rsid w:val="00301474"/>
    <w:rsid w:val="00302A22"/>
    <w:rsid w:val="00302EEA"/>
    <w:rsid w:val="00304448"/>
    <w:rsid w:val="003045A9"/>
    <w:rsid w:val="00307D75"/>
    <w:rsid w:val="003108E2"/>
    <w:rsid w:val="00310A6B"/>
    <w:rsid w:val="00311F80"/>
    <w:rsid w:val="0031739C"/>
    <w:rsid w:val="00320E77"/>
    <w:rsid w:val="00321DE2"/>
    <w:rsid w:val="00322CAC"/>
    <w:rsid w:val="00326A78"/>
    <w:rsid w:val="003313E6"/>
    <w:rsid w:val="00334805"/>
    <w:rsid w:val="00336D75"/>
    <w:rsid w:val="003371C0"/>
    <w:rsid w:val="00340CF3"/>
    <w:rsid w:val="003434B2"/>
    <w:rsid w:val="003546D6"/>
    <w:rsid w:val="00357ABB"/>
    <w:rsid w:val="00360E38"/>
    <w:rsid w:val="00361063"/>
    <w:rsid w:val="0036131F"/>
    <w:rsid w:val="0036156B"/>
    <w:rsid w:val="003633F9"/>
    <w:rsid w:val="003744E1"/>
    <w:rsid w:val="00386FB8"/>
    <w:rsid w:val="003A313C"/>
    <w:rsid w:val="003A58F3"/>
    <w:rsid w:val="003B2DEB"/>
    <w:rsid w:val="003B4386"/>
    <w:rsid w:val="003B7BDE"/>
    <w:rsid w:val="003C062C"/>
    <w:rsid w:val="003C0CF1"/>
    <w:rsid w:val="003C2C73"/>
    <w:rsid w:val="003C4974"/>
    <w:rsid w:val="003C4BB0"/>
    <w:rsid w:val="003C4CB6"/>
    <w:rsid w:val="003E53FD"/>
    <w:rsid w:val="003E6074"/>
    <w:rsid w:val="003E69EF"/>
    <w:rsid w:val="003F597A"/>
    <w:rsid w:val="004029B0"/>
    <w:rsid w:val="004050F1"/>
    <w:rsid w:val="004058E7"/>
    <w:rsid w:val="004067D5"/>
    <w:rsid w:val="00411C42"/>
    <w:rsid w:val="00413817"/>
    <w:rsid w:val="00413EA6"/>
    <w:rsid w:val="00425E3D"/>
    <w:rsid w:val="004322C1"/>
    <w:rsid w:val="00443358"/>
    <w:rsid w:val="0044551F"/>
    <w:rsid w:val="00461090"/>
    <w:rsid w:val="004651E0"/>
    <w:rsid w:val="00467725"/>
    <w:rsid w:val="00472E88"/>
    <w:rsid w:val="00476DBC"/>
    <w:rsid w:val="00481A91"/>
    <w:rsid w:val="00484EF4"/>
    <w:rsid w:val="004857DC"/>
    <w:rsid w:val="00486EF9"/>
    <w:rsid w:val="0048739C"/>
    <w:rsid w:val="00490D7E"/>
    <w:rsid w:val="00493945"/>
    <w:rsid w:val="00494A63"/>
    <w:rsid w:val="004A3C08"/>
    <w:rsid w:val="004A63E9"/>
    <w:rsid w:val="004A674B"/>
    <w:rsid w:val="004A6873"/>
    <w:rsid w:val="004B0CFC"/>
    <w:rsid w:val="004B6A49"/>
    <w:rsid w:val="004C2AEA"/>
    <w:rsid w:val="004C7762"/>
    <w:rsid w:val="004C7B2F"/>
    <w:rsid w:val="004D1FFA"/>
    <w:rsid w:val="004D3F8D"/>
    <w:rsid w:val="004D5BB6"/>
    <w:rsid w:val="004D6C30"/>
    <w:rsid w:val="004D7643"/>
    <w:rsid w:val="004E0869"/>
    <w:rsid w:val="004E08D8"/>
    <w:rsid w:val="004E3122"/>
    <w:rsid w:val="004F1771"/>
    <w:rsid w:val="004F1DFC"/>
    <w:rsid w:val="00506EF7"/>
    <w:rsid w:val="0051092F"/>
    <w:rsid w:val="00510DCB"/>
    <w:rsid w:val="005122F7"/>
    <w:rsid w:val="0052297C"/>
    <w:rsid w:val="00522CDE"/>
    <w:rsid w:val="00523A2A"/>
    <w:rsid w:val="00523D02"/>
    <w:rsid w:val="005246B4"/>
    <w:rsid w:val="0052605D"/>
    <w:rsid w:val="005348B6"/>
    <w:rsid w:val="005359C0"/>
    <w:rsid w:val="00537CD2"/>
    <w:rsid w:val="00540936"/>
    <w:rsid w:val="0054148C"/>
    <w:rsid w:val="00547573"/>
    <w:rsid w:val="00552A0D"/>
    <w:rsid w:val="005548D9"/>
    <w:rsid w:val="00563D5F"/>
    <w:rsid w:val="00564078"/>
    <w:rsid w:val="00564C19"/>
    <w:rsid w:val="005715A5"/>
    <w:rsid w:val="005778C6"/>
    <w:rsid w:val="00583517"/>
    <w:rsid w:val="0058392A"/>
    <w:rsid w:val="005921C4"/>
    <w:rsid w:val="00593203"/>
    <w:rsid w:val="00593A53"/>
    <w:rsid w:val="005A0505"/>
    <w:rsid w:val="005A12BB"/>
    <w:rsid w:val="005A30C6"/>
    <w:rsid w:val="005B1AB5"/>
    <w:rsid w:val="005B374E"/>
    <w:rsid w:val="005B3A2E"/>
    <w:rsid w:val="005B5103"/>
    <w:rsid w:val="005B6C44"/>
    <w:rsid w:val="005C1BCB"/>
    <w:rsid w:val="005D748C"/>
    <w:rsid w:val="005E2618"/>
    <w:rsid w:val="005E4340"/>
    <w:rsid w:val="005E6939"/>
    <w:rsid w:val="005E6963"/>
    <w:rsid w:val="005F2B8F"/>
    <w:rsid w:val="005F408D"/>
    <w:rsid w:val="006002BA"/>
    <w:rsid w:val="0060548F"/>
    <w:rsid w:val="006105A5"/>
    <w:rsid w:val="00615C97"/>
    <w:rsid w:val="006179CD"/>
    <w:rsid w:val="006258C4"/>
    <w:rsid w:val="006324A4"/>
    <w:rsid w:val="00633C86"/>
    <w:rsid w:val="006349E9"/>
    <w:rsid w:val="00642DB0"/>
    <w:rsid w:val="006451A7"/>
    <w:rsid w:val="00653C4A"/>
    <w:rsid w:val="006547C9"/>
    <w:rsid w:val="0066030A"/>
    <w:rsid w:val="00662C5B"/>
    <w:rsid w:val="00664301"/>
    <w:rsid w:val="00665921"/>
    <w:rsid w:val="006674C4"/>
    <w:rsid w:val="00667569"/>
    <w:rsid w:val="006711E9"/>
    <w:rsid w:val="006739E1"/>
    <w:rsid w:val="00674977"/>
    <w:rsid w:val="00683012"/>
    <w:rsid w:val="006831B8"/>
    <w:rsid w:val="00684450"/>
    <w:rsid w:val="006902B0"/>
    <w:rsid w:val="0069041A"/>
    <w:rsid w:val="006A4223"/>
    <w:rsid w:val="006A43A9"/>
    <w:rsid w:val="006A4435"/>
    <w:rsid w:val="006A55FD"/>
    <w:rsid w:val="006A6389"/>
    <w:rsid w:val="006A67E9"/>
    <w:rsid w:val="006A71EB"/>
    <w:rsid w:val="006B12B1"/>
    <w:rsid w:val="006B19A4"/>
    <w:rsid w:val="006B3588"/>
    <w:rsid w:val="006C00D9"/>
    <w:rsid w:val="006C190F"/>
    <w:rsid w:val="006D266F"/>
    <w:rsid w:val="006D2674"/>
    <w:rsid w:val="006F479F"/>
    <w:rsid w:val="006F48C2"/>
    <w:rsid w:val="00702A6A"/>
    <w:rsid w:val="00713E04"/>
    <w:rsid w:val="00732DC0"/>
    <w:rsid w:val="00732F0A"/>
    <w:rsid w:val="00733FA1"/>
    <w:rsid w:val="007365B3"/>
    <w:rsid w:val="007369FB"/>
    <w:rsid w:val="0074398C"/>
    <w:rsid w:val="00744F85"/>
    <w:rsid w:val="00747A49"/>
    <w:rsid w:val="00755F4B"/>
    <w:rsid w:val="007635FA"/>
    <w:rsid w:val="007644F4"/>
    <w:rsid w:val="0076794D"/>
    <w:rsid w:val="00797F4B"/>
    <w:rsid w:val="007A2E5F"/>
    <w:rsid w:val="007B1A15"/>
    <w:rsid w:val="007C1F57"/>
    <w:rsid w:val="007C30E2"/>
    <w:rsid w:val="007C326F"/>
    <w:rsid w:val="007C5E96"/>
    <w:rsid w:val="007C6979"/>
    <w:rsid w:val="007D079A"/>
    <w:rsid w:val="007E4065"/>
    <w:rsid w:val="007E483E"/>
    <w:rsid w:val="007E6D23"/>
    <w:rsid w:val="007F2E8F"/>
    <w:rsid w:val="007F3C59"/>
    <w:rsid w:val="007F73C6"/>
    <w:rsid w:val="008035D7"/>
    <w:rsid w:val="0080541F"/>
    <w:rsid w:val="0080704B"/>
    <w:rsid w:val="00811D3F"/>
    <w:rsid w:val="008160F4"/>
    <w:rsid w:val="00816386"/>
    <w:rsid w:val="00824815"/>
    <w:rsid w:val="00825222"/>
    <w:rsid w:val="00825D73"/>
    <w:rsid w:val="008269D8"/>
    <w:rsid w:val="0083075F"/>
    <w:rsid w:val="00830BF7"/>
    <w:rsid w:val="00831EDB"/>
    <w:rsid w:val="008360C8"/>
    <w:rsid w:val="008410CE"/>
    <w:rsid w:val="00847548"/>
    <w:rsid w:val="00847610"/>
    <w:rsid w:val="00853792"/>
    <w:rsid w:val="00855663"/>
    <w:rsid w:val="0085756C"/>
    <w:rsid w:val="00881957"/>
    <w:rsid w:val="00883B02"/>
    <w:rsid w:val="008915FB"/>
    <w:rsid w:val="008A54FA"/>
    <w:rsid w:val="008A642D"/>
    <w:rsid w:val="008A68B9"/>
    <w:rsid w:val="008A75CE"/>
    <w:rsid w:val="008D3FD7"/>
    <w:rsid w:val="008E0F79"/>
    <w:rsid w:val="008F5762"/>
    <w:rsid w:val="00902EFB"/>
    <w:rsid w:val="009032F1"/>
    <w:rsid w:val="00913784"/>
    <w:rsid w:val="009146B7"/>
    <w:rsid w:val="00921DDA"/>
    <w:rsid w:val="00925210"/>
    <w:rsid w:val="009323B2"/>
    <w:rsid w:val="00936673"/>
    <w:rsid w:val="00937B8D"/>
    <w:rsid w:val="00940141"/>
    <w:rsid w:val="00940569"/>
    <w:rsid w:val="0094216C"/>
    <w:rsid w:val="00962252"/>
    <w:rsid w:val="00963A7A"/>
    <w:rsid w:val="009672FA"/>
    <w:rsid w:val="00971CCF"/>
    <w:rsid w:val="00974E11"/>
    <w:rsid w:val="009775B9"/>
    <w:rsid w:val="00983341"/>
    <w:rsid w:val="00984087"/>
    <w:rsid w:val="00987984"/>
    <w:rsid w:val="009906F8"/>
    <w:rsid w:val="009A0950"/>
    <w:rsid w:val="009A4A8D"/>
    <w:rsid w:val="009A5247"/>
    <w:rsid w:val="009C5CE3"/>
    <w:rsid w:val="009C63FB"/>
    <w:rsid w:val="009D1B00"/>
    <w:rsid w:val="009D3B0C"/>
    <w:rsid w:val="009D504B"/>
    <w:rsid w:val="009F1181"/>
    <w:rsid w:val="009F2053"/>
    <w:rsid w:val="009F45BB"/>
    <w:rsid w:val="00A0310E"/>
    <w:rsid w:val="00A06A81"/>
    <w:rsid w:val="00A075C0"/>
    <w:rsid w:val="00A16763"/>
    <w:rsid w:val="00A21D08"/>
    <w:rsid w:val="00A24038"/>
    <w:rsid w:val="00A2587B"/>
    <w:rsid w:val="00A27898"/>
    <w:rsid w:val="00A3600F"/>
    <w:rsid w:val="00A366AD"/>
    <w:rsid w:val="00A4256C"/>
    <w:rsid w:val="00A472A3"/>
    <w:rsid w:val="00A51661"/>
    <w:rsid w:val="00A56A07"/>
    <w:rsid w:val="00A601B0"/>
    <w:rsid w:val="00A604B3"/>
    <w:rsid w:val="00A61933"/>
    <w:rsid w:val="00A64CD8"/>
    <w:rsid w:val="00A731E7"/>
    <w:rsid w:val="00A82DB0"/>
    <w:rsid w:val="00A85F54"/>
    <w:rsid w:val="00A9045A"/>
    <w:rsid w:val="00A9584B"/>
    <w:rsid w:val="00A97117"/>
    <w:rsid w:val="00A97E69"/>
    <w:rsid w:val="00AA0885"/>
    <w:rsid w:val="00AA09F9"/>
    <w:rsid w:val="00AA1805"/>
    <w:rsid w:val="00AA2685"/>
    <w:rsid w:val="00AA6EB7"/>
    <w:rsid w:val="00AA7E5A"/>
    <w:rsid w:val="00AD06F4"/>
    <w:rsid w:val="00AD0A05"/>
    <w:rsid w:val="00AE0FF4"/>
    <w:rsid w:val="00AE114F"/>
    <w:rsid w:val="00AE25D7"/>
    <w:rsid w:val="00AE336D"/>
    <w:rsid w:val="00AE6AA2"/>
    <w:rsid w:val="00B06C5B"/>
    <w:rsid w:val="00B1106E"/>
    <w:rsid w:val="00B16302"/>
    <w:rsid w:val="00B21BE7"/>
    <w:rsid w:val="00B21F36"/>
    <w:rsid w:val="00B2518F"/>
    <w:rsid w:val="00B27309"/>
    <w:rsid w:val="00B32702"/>
    <w:rsid w:val="00B33C38"/>
    <w:rsid w:val="00B3536F"/>
    <w:rsid w:val="00B456BA"/>
    <w:rsid w:val="00B53E2A"/>
    <w:rsid w:val="00B55D7D"/>
    <w:rsid w:val="00B6180F"/>
    <w:rsid w:val="00B64063"/>
    <w:rsid w:val="00B670FD"/>
    <w:rsid w:val="00B71CD7"/>
    <w:rsid w:val="00B77636"/>
    <w:rsid w:val="00B77E2D"/>
    <w:rsid w:val="00B92253"/>
    <w:rsid w:val="00B959B3"/>
    <w:rsid w:val="00BB3016"/>
    <w:rsid w:val="00BC5065"/>
    <w:rsid w:val="00BC63AE"/>
    <w:rsid w:val="00BD1D16"/>
    <w:rsid w:val="00BE2A3B"/>
    <w:rsid w:val="00BF0021"/>
    <w:rsid w:val="00BF40F9"/>
    <w:rsid w:val="00BF4B8A"/>
    <w:rsid w:val="00BF5576"/>
    <w:rsid w:val="00BF692C"/>
    <w:rsid w:val="00C00865"/>
    <w:rsid w:val="00C0267D"/>
    <w:rsid w:val="00C035CF"/>
    <w:rsid w:val="00C068BF"/>
    <w:rsid w:val="00C200AA"/>
    <w:rsid w:val="00C234BB"/>
    <w:rsid w:val="00C24204"/>
    <w:rsid w:val="00C31813"/>
    <w:rsid w:val="00C33350"/>
    <w:rsid w:val="00C34FBB"/>
    <w:rsid w:val="00C40A61"/>
    <w:rsid w:val="00C519A9"/>
    <w:rsid w:val="00C51FB7"/>
    <w:rsid w:val="00C5260D"/>
    <w:rsid w:val="00C5540F"/>
    <w:rsid w:val="00C66D33"/>
    <w:rsid w:val="00C710F1"/>
    <w:rsid w:val="00C86159"/>
    <w:rsid w:val="00C877D2"/>
    <w:rsid w:val="00C90EC6"/>
    <w:rsid w:val="00C928D9"/>
    <w:rsid w:val="00C92F3C"/>
    <w:rsid w:val="00C958C2"/>
    <w:rsid w:val="00CA0932"/>
    <w:rsid w:val="00CA12E0"/>
    <w:rsid w:val="00CA5C7F"/>
    <w:rsid w:val="00CA5C89"/>
    <w:rsid w:val="00CA67EB"/>
    <w:rsid w:val="00CB34DC"/>
    <w:rsid w:val="00CB579A"/>
    <w:rsid w:val="00CB6978"/>
    <w:rsid w:val="00CB6DCF"/>
    <w:rsid w:val="00CB6F7B"/>
    <w:rsid w:val="00CC52B7"/>
    <w:rsid w:val="00CC5969"/>
    <w:rsid w:val="00CD1391"/>
    <w:rsid w:val="00CD2DDD"/>
    <w:rsid w:val="00CE080A"/>
    <w:rsid w:val="00CE0C0C"/>
    <w:rsid w:val="00CE5364"/>
    <w:rsid w:val="00CF1101"/>
    <w:rsid w:val="00CF12B3"/>
    <w:rsid w:val="00CF3314"/>
    <w:rsid w:val="00CF36DF"/>
    <w:rsid w:val="00CF41CF"/>
    <w:rsid w:val="00D00C91"/>
    <w:rsid w:val="00D01413"/>
    <w:rsid w:val="00D145E1"/>
    <w:rsid w:val="00D16090"/>
    <w:rsid w:val="00D21FBE"/>
    <w:rsid w:val="00D2315F"/>
    <w:rsid w:val="00D27F9E"/>
    <w:rsid w:val="00D30819"/>
    <w:rsid w:val="00D30E7B"/>
    <w:rsid w:val="00D351F6"/>
    <w:rsid w:val="00D422D5"/>
    <w:rsid w:val="00D47AB7"/>
    <w:rsid w:val="00D5229C"/>
    <w:rsid w:val="00D52CF1"/>
    <w:rsid w:val="00D53B8B"/>
    <w:rsid w:val="00D576F7"/>
    <w:rsid w:val="00D627BF"/>
    <w:rsid w:val="00D74AAF"/>
    <w:rsid w:val="00D769A7"/>
    <w:rsid w:val="00D82AD6"/>
    <w:rsid w:val="00D83408"/>
    <w:rsid w:val="00D915DB"/>
    <w:rsid w:val="00D91CCA"/>
    <w:rsid w:val="00DA31D2"/>
    <w:rsid w:val="00DA693E"/>
    <w:rsid w:val="00DA70A8"/>
    <w:rsid w:val="00DB4E02"/>
    <w:rsid w:val="00DC1B56"/>
    <w:rsid w:val="00DC3EFA"/>
    <w:rsid w:val="00DC5FAB"/>
    <w:rsid w:val="00DC6ADE"/>
    <w:rsid w:val="00DD143F"/>
    <w:rsid w:val="00DD1D51"/>
    <w:rsid w:val="00DD342D"/>
    <w:rsid w:val="00DD3CD5"/>
    <w:rsid w:val="00DD4A03"/>
    <w:rsid w:val="00DD4B54"/>
    <w:rsid w:val="00DD5DB8"/>
    <w:rsid w:val="00DE218F"/>
    <w:rsid w:val="00DE3F54"/>
    <w:rsid w:val="00DE7515"/>
    <w:rsid w:val="00DE7830"/>
    <w:rsid w:val="00DF1DD0"/>
    <w:rsid w:val="00DF2E0F"/>
    <w:rsid w:val="00DF3711"/>
    <w:rsid w:val="00E040E7"/>
    <w:rsid w:val="00E044D1"/>
    <w:rsid w:val="00E046B9"/>
    <w:rsid w:val="00E06D1E"/>
    <w:rsid w:val="00E11ADB"/>
    <w:rsid w:val="00E1281A"/>
    <w:rsid w:val="00E12A1E"/>
    <w:rsid w:val="00E1662D"/>
    <w:rsid w:val="00E20AC8"/>
    <w:rsid w:val="00E33136"/>
    <w:rsid w:val="00E34C4A"/>
    <w:rsid w:val="00E4115B"/>
    <w:rsid w:val="00E42A0F"/>
    <w:rsid w:val="00E55FD9"/>
    <w:rsid w:val="00E62A8E"/>
    <w:rsid w:val="00E65ADA"/>
    <w:rsid w:val="00E661A6"/>
    <w:rsid w:val="00E726A2"/>
    <w:rsid w:val="00E730FE"/>
    <w:rsid w:val="00E9404E"/>
    <w:rsid w:val="00EA24E7"/>
    <w:rsid w:val="00EA4649"/>
    <w:rsid w:val="00EA5525"/>
    <w:rsid w:val="00EC2630"/>
    <w:rsid w:val="00EC3994"/>
    <w:rsid w:val="00EC5A84"/>
    <w:rsid w:val="00ED77F0"/>
    <w:rsid w:val="00EF01CF"/>
    <w:rsid w:val="00EF3448"/>
    <w:rsid w:val="00EF3CD0"/>
    <w:rsid w:val="00EF5654"/>
    <w:rsid w:val="00EF6083"/>
    <w:rsid w:val="00EF6D5A"/>
    <w:rsid w:val="00EF7813"/>
    <w:rsid w:val="00EF7899"/>
    <w:rsid w:val="00F01B9E"/>
    <w:rsid w:val="00F10F95"/>
    <w:rsid w:val="00F11A50"/>
    <w:rsid w:val="00F15CF8"/>
    <w:rsid w:val="00F16FEF"/>
    <w:rsid w:val="00F2163E"/>
    <w:rsid w:val="00F24B6D"/>
    <w:rsid w:val="00F26573"/>
    <w:rsid w:val="00F3049A"/>
    <w:rsid w:val="00F466D0"/>
    <w:rsid w:val="00F53EE7"/>
    <w:rsid w:val="00F5631B"/>
    <w:rsid w:val="00F670EB"/>
    <w:rsid w:val="00F675F7"/>
    <w:rsid w:val="00F704E5"/>
    <w:rsid w:val="00F713C5"/>
    <w:rsid w:val="00F74979"/>
    <w:rsid w:val="00F74F96"/>
    <w:rsid w:val="00F76003"/>
    <w:rsid w:val="00F77DD7"/>
    <w:rsid w:val="00F8581D"/>
    <w:rsid w:val="00F942FD"/>
    <w:rsid w:val="00F94590"/>
    <w:rsid w:val="00FA0A9A"/>
    <w:rsid w:val="00FA34C6"/>
    <w:rsid w:val="00FA4112"/>
    <w:rsid w:val="00FA4123"/>
    <w:rsid w:val="00FA7DB7"/>
    <w:rsid w:val="00FB2BA4"/>
    <w:rsid w:val="00FB2CD4"/>
    <w:rsid w:val="00FD608F"/>
    <w:rsid w:val="00FD6682"/>
    <w:rsid w:val="00FD72A0"/>
    <w:rsid w:val="00FE1B40"/>
    <w:rsid w:val="00FE254E"/>
    <w:rsid w:val="00FF1BAF"/>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CAC"/>
    <w:rPr>
      <w:sz w:val="24"/>
      <w:szCs w:val="24"/>
    </w:rPr>
  </w:style>
  <w:style w:type="paragraph" w:styleId="Heading1">
    <w:name w:val="heading 1"/>
    <w:basedOn w:val="Normal"/>
    <w:next w:val="Normal"/>
    <w:qFormat/>
    <w:rsid w:val="00881957"/>
    <w:pPr>
      <w:keepNext/>
      <w:spacing w:before="480"/>
      <w:outlineLvl w:val="0"/>
    </w:pPr>
    <w:rPr>
      <w:rFonts w:ascii="Arial Black" w:hAnsi="Arial Black"/>
      <w:sz w:val="28"/>
    </w:rPr>
  </w:style>
  <w:style w:type="paragraph" w:styleId="Heading2">
    <w:name w:val="heading 2"/>
    <w:basedOn w:val="Normal"/>
    <w:next w:val="Normal"/>
    <w:qFormat/>
    <w:rsid w:val="001D56DF"/>
    <w:pPr>
      <w:keepNext/>
      <w:spacing w:before="240"/>
      <w:outlineLvl w:val="1"/>
    </w:pPr>
    <w:rPr>
      <w:rFonts w:ascii="Arial Black" w:hAnsi="Arial Black"/>
      <w:bCs/>
    </w:rPr>
  </w:style>
  <w:style w:type="paragraph" w:styleId="Heading3">
    <w:name w:val="heading 3"/>
    <w:basedOn w:val="Normal"/>
    <w:next w:val="Normal"/>
    <w:qFormat/>
    <w:rsid w:val="001D56DF"/>
    <w:pPr>
      <w:keepNext/>
      <w:spacing w:before="120"/>
      <w:outlineLvl w:val="2"/>
    </w:pPr>
    <w:rPr>
      <w:rFonts w:ascii="Arial" w:hAnsi="Arial"/>
      <w:b/>
      <w:bCs/>
      <w:u w:val="single"/>
    </w:rPr>
  </w:style>
  <w:style w:type="paragraph" w:styleId="Heading4">
    <w:name w:val="heading 4"/>
    <w:basedOn w:val="Normal"/>
    <w:next w:val="Normal"/>
    <w:link w:val="Heading4Char"/>
    <w:qFormat/>
    <w:rsid w:val="00481A9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D56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6F7"/>
    <w:rPr>
      <w:color w:val="0000FF"/>
      <w:u w:val="single"/>
    </w:rPr>
  </w:style>
  <w:style w:type="paragraph" w:styleId="Footer">
    <w:name w:val="footer"/>
    <w:basedOn w:val="Normal"/>
    <w:link w:val="FooterChar"/>
    <w:uiPriority w:val="99"/>
    <w:rsid w:val="00322CAC"/>
    <w:pPr>
      <w:tabs>
        <w:tab w:val="center" w:pos="4320"/>
        <w:tab w:val="right" w:pos="8640"/>
      </w:tabs>
    </w:pPr>
  </w:style>
  <w:style w:type="character" w:styleId="PageNumber">
    <w:name w:val="page number"/>
    <w:basedOn w:val="DefaultParagraphFont"/>
    <w:rsid w:val="00322CAC"/>
  </w:style>
  <w:style w:type="paragraph" w:styleId="Header">
    <w:name w:val="header"/>
    <w:basedOn w:val="Normal"/>
    <w:link w:val="HeaderChar"/>
    <w:uiPriority w:val="99"/>
    <w:rsid w:val="00322CAC"/>
    <w:pPr>
      <w:tabs>
        <w:tab w:val="center" w:pos="4320"/>
        <w:tab w:val="right" w:pos="8640"/>
      </w:tabs>
    </w:pPr>
  </w:style>
  <w:style w:type="paragraph" w:styleId="BalloonText">
    <w:name w:val="Balloon Text"/>
    <w:basedOn w:val="Normal"/>
    <w:semiHidden/>
    <w:rsid w:val="007C30E2"/>
    <w:rPr>
      <w:rFonts w:ascii="Tahoma" w:hAnsi="Tahoma" w:cs="Tahoma"/>
      <w:sz w:val="16"/>
      <w:szCs w:val="16"/>
    </w:rPr>
  </w:style>
  <w:style w:type="character" w:customStyle="1" w:styleId="Heading4Char">
    <w:name w:val="Heading 4 Char"/>
    <w:link w:val="Heading4"/>
    <w:rsid w:val="00481A91"/>
    <w:rPr>
      <w:rFonts w:ascii="Calibri" w:eastAsia="Times New Roman" w:hAnsi="Calibri" w:cs="Times New Roman"/>
      <w:b/>
      <w:bCs/>
      <w:sz w:val="28"/>
      <w:szCs w:val="28"/>
    </w:rPr>
  </w:style>
  <w:style w:type="character" w:customStyle="1" w:styleId="Heading5Char">
    <w:name w:val="Heading 5 Char"/>
    <w:link w:val="Heading5"/>
    <w:semiHidden/>
    <w:rsid w:val="001D56DF"/>
    <w:rPr>
      <w:rFonts w:ascii="Calibri" w:eastAsia="Times New Roman" w:hAnsi="Calibri" w:cs="Times New Roman"/>
      <w:b/>
      <w:bCs/>
      <w:i/>
      <w:iCs/>
      <w:sz w:val="26"/>
      <w:szCs w:val="26"/>
    </w:rPr>
  </w:style>
  <w:style w:type="paragraph" w:customStyle="1" w:styleId="MeetingNotes">
    <w:name w:val="MeetingNotes"/>
    <w:basedOn w:val="Heading4"/>
    <w:qFormat/>
    <w:rsid w:val="001D56DF"/>
    <w:pPr>
      <w:shd w:val="pct10" w:color="auto" w:fill="auto"/>
    </w:pPr>
    <w:rPr>
      <w:b w:val="0"/>
      <w:bCs w:val="0"/>
    </w:rPr>
  </w:style>
  <w:style w:type="paragraph" w:styleId="ListParagraph">
    <w:name w:val="List Paragraph"/>
    <w:basedOn w:val="Normal"/>
    <w:uiPriority w:val="34"/>
    <w:qFormat/>
    <w:rsid w:val="00684450"/>
    <w:pPr>
      <w:ind w:left="720"/>
      <w:contextualSpacing/>
    </w:pPr>
  </w:style>
  <w:style w:type="paragraph" w:styleId="EndnoteText">
    <w:name w:val="endnote text"/>
    <w:basedOn w:val="Normal"/>
    <w:link w:val="EndnoteTextChar"/>
    <w:rsid w:val="00E1281A"/>
    <w:rPr>
      <w:sz w:val="20"/>
      <w:szCs w:val="20"/>
    </w:rPr>
  </w:style>
  <w:style w:type="character" w:customStyle="1" w:styleId="EndnoteTextChar">
    <w:name w:val="Endnote Text Char"/>
    <w:basedOn w:val="DefaultParagraphFont"/>
    <w:link w:val="EndnoteText"/>
    <w:rsid w:val="00E1281A"/>
  </w:style>
  <w:style w:type="character" w:styleId="EndnoteReference">
    <w:name w:val="endnote reference"/>
    <w:rsid w:val="00E1281A"/>
    <w:rPr>
      <w:vertAlign w:val="superscript"/>
    </w:rPr>
  </w:style>
  <w:style w:type="table" w:styleId="TableGrid">
    <w:name w:val="Table Grid"/>
    <w:basedOn w:val="TableNormal"/>
    <w:rsid w:val="00824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C958C2"/>
    <w:rPr>
      <w:sz w:val="24"/>
      <w:szCs w:val="24"/>
    </w:rPr>
  </w:style>
  <w:style w:type="character" w:styleId="LineNumber">
    <w:name w:val="line number"/>
    <w:basedOn w:val="DefaultParagraphFont"/>
    <w:rsid w:val="00C958C2"/>
  </w:style>
  <w:style w:type="character" w:customStyle="1" w:styleId="FooterChar">
    <w:name w:val="Footer Char"/>
    <w:link w:val="Footer"/>
    <w:uiPriority w:val="99"/>
    <w:rsid w:val="00C958C2"/>
    <w:rPr>
      <w:sz w:val="24"/>
      <w:szCs w:val="24"/>
    </w:rPr>
  </w:style>
  <w:style w:type="paragraph" w:styleId="FootnoteText">
    <w:name w:val="footnote text"/>
    <w:basedOn w:val="Normal"/>
    <w:link w:val="FootnoteTextChar"/>
    <w:rsid w:val="000D680E"/>
    <w:rPr>
      <w:sz w:val="20"/>
      <w:szCs w:val="20"/>
    </w:rPr>
  </w:style>
  <w:style w:type="character" w:customStyle="1" w:styleId="FootnoteTextChar">
    <w:name w:val="Footnote Text Char"/>
    <w:basedOn w:val="DefaultParagraphFont"/>
    <w:link w:val="FootnoteText"/>
    <w:rsid w:val="000D680E"/>
  </w:style>
  <w:style w:type="character" w:styleId="FootnoteReference">
    <w:name w:val="footnote reference"/>
    <w:rsid w:val="000D680E"/>
    <w:rPr>
      <w:vertAlign w:val="superscript"/>
    </w:rPr>
  </w:style>
  <w:style w:type="character" w:styleId="CommentReference">
    <w:name w:val="annotation reference"/>
    <w:rsid w:val="00DC6ADE"/>
    <w:rPr>
      <w:sz w:val="16"/>
      <w:szCs w:val="16"/>
    </w:rPr>
  </w:style>
  <w:style w:type="paragraph" w:styleId="CommentText">
    <w:name w:val="annotation text"/>
    <w:basedOn w:val="Normal"/>
    <w:link w:val="CommentTextChar"/>
    <w:rsid w:val="00DC6ADE"/>
    <w:rPr>
      <w:sz w:val="20"/>
      <w:szCs w:val="20"/>
    </w:rPr>
  </w:style>
  <w:style w:type="character" w:customStyle="1" w:styleId="CommentTextChar">
    <w:name w:val="Comment Text Char"/>
    <w:basedOn w:val="DefaultParagraphFont"/>
    <w:link w:val="CommentText"/>
    <w:rsid w:val="00DC6ADE"/>
  </w:style>
  <w:style w:type="paragraph" w:styleId="CommentSubject">
    <w:name w:val="annotation subject"/>
    <w:basedOn w:val="CommentText"/>
    <w:next w:val="CommentText"/>
    <w:link w:val="CommentSubjectChar"/>
    <w:rsid w:val="00DC6ADE"/>
    <w:rPr>
      <w:b/>
      <w:bCs/>
    </w:rPr>
  </w:style>
  <w:style w:type="character" w:customStyle="1" w:styleId="CommentSubjectChar">
    <w:name w:val="Comment Subject Char"/>
    <w:link w:val="CommentSubject"/>
    <w:rsid w:val="00DC6ADE"/>
    <w:rPr>
      <w:b/>
      <w:bCs/>
    </w:rPr>
  </w:style>
  <w:style w:type="character" w:styleId="Emphasis">
    <w:name w:val="Emphasis"/>
    <w:qFormat/>
    <w:rsid w:val="006739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175">
      <w:bodyDiv w:val="1"/>
      <w:marLeft w:val="0"/>
      <w:marRight w:val="0"/>
      <w:marTop w:val="0"/>
      <w:marBottom w:val="0"/>
      <w:divBdr>
        <w:top w:val="none" w:sz="0" w:space="0" w:color="auto"/>
        <w:left w:val="none" w:sz="0" w:space="0" w:color="auto"/>
        <w:bottom w:val="none" w:sz="0" w:space="0" w:color="auto"/>
        <w:right w:val="none" w:sz="0" w:space="0" w:color="auto"/>
      </w:divBdr>
    </w:div>
    <w:div w:id="177282408">
      <w:bodyDiv w:val="1"/>
      <w:marLeft w:val="0"/>
      <w:marRight w:val="0"/>
      <w:marTop w:val="0"/>
      <w:marBottom w:val="0"/>
      <w:divBdr>
        <w:top w:val="none" w:sz="0" w:space="0" w:color="auto"/>
        <w:left w:val="none" w:sz="0" w:space="0" w:color="auto"/>
        <w:bottom w:val="none" w:sz="0" w:space="0" w:color="auto"/>
        <w:right w:val="none" w:sz="0" w:space="0" w:color="auto"/>
      </w:divBdr>
    </w:div>
    <w:div w:id="1121538107">
      <w:bodyDiv w:val="1"/>
      <w:marLeft w:val="0"/>
      <w:marRight w:val="0"/>
      <w:marTop w:val="0"/>
      <w:marBottom w:val="0"/>
      <w:divBdr>
        <w:top w:val="none" w:sz="0" w:space="0" w:color="auto"/>
        <w:left w:val="none" w:sz="0" w:space="0" w:color="auto"/>
        <w:bottom w:val="none" w:sz="0" w:space="0" w:color="auto"/>
        <w:right w:val="none" w:sz="0" w:space="0" w:color="auto"/>
      </w:divBdr>
    </w:div>
    <w:div w:id="1398165758">
      <w:bodyDiv w:val="1"/>
      <w:marLeft w:val="0"/>
      <w:marRight w:val="0"/>
      <w:marTop w:val="0"/>
      <w:marBottom w:val="0"/>
      <w:divBdr>
        <w:top w:val="none" w:sz="0" w:space="0" w:color="auto"/>
        <w:left w:val="none" w:sz="0" w:space="0" w:color="auto"/>
        <w:bottom w:val="none" w:sz="0" w:space="0" w:color="auto"/>
        <w:right w:val="none" w:sz="0" w:space="0" w:color="auto"/>
      </w:divBdr>
    </w:div>
    <w:div w:id="1459956160">
      <w:bodyDiv w:val="1"/>
      <w:marLeft w:val="0"/>
      <w:marRight w:val="0"/>
      <w:marTop w:val="0"/>
      <w:marBottom w:val="0"/>
      <w:divBdr>
        <w:top w:val="none" w:sz="0" w:space="0" w:color="auto"/>
        <w:left w:val="none" w:sz="0" w:space="0" w:color="auto"/>
        <w:bottom w:val="none" w:sz="0" w:space="0" w:color="auto"/>
        <w:right w:val="none" w:sz="0" w:space="0" w:color="auto"/>
      </w:divBdr>
    </w:div>
    <w:div w:id="1478378627">
      <w:bodyDiv w:val="1"/>
      <w:marLeft w:val="0"/>
      <w:marRight w:val="0"/>
      <w:marTop w:val="0"/>
      <w:marBottom w:val="0"/>
      <w:divBdr>
        <w:top w:val="none" w:sz="0" w:space="0" w:color="auto"/>
        <w:left w:val="none" w:sz="0" w:space="0" w:color="auto"/>
        <w:bottom w:val="none" w:sz="0" w:space="0" w:color="auto"/>
        <w:right w:val="none" w:sz="0" w:space="0" w:color="auto"/>
      </w:divBdr>
    </w:div>
    <w:div w:id="1565022761">
      <w:bodyDiv w:val="1"/>
      <w:marLeft w:val="0"/>
      <w:marRight w:val="0"/>
      <w:marTop w:val="0"/>
      <w:marBottom w:val="0"/>
      <w:divBdr>
        <w:top w:val="none" w:sz="0" w:space="0" w:color="auto"/>
        <w:left w:val="none" w:sz="0" w:space="0" w:color="auto"/>
        <w:bottom w:val="none" w:sz="0" w:space="0" w:color="auto"/>
        <w:right w:val="none" w:sz="0" w:space="0" w:color="auto"/>
      </w:divBdr>
    </w:div>
    <w:div w:id="1577402197">
      <w:bodyDiv w:val="1"/>
      <w:marLeft w:val="0"/>
      <w:marRight w:val="0"/>
      <w:marTop w:val="0"/>
      <w:marBottom w:val="0"/>
      <w:divBdr>
        <w:top w:val="none" w:sz="0" w:space="0" w:color="auto"/>
        <w:left w:val="none" w:sz="0" w:space="0" w:color="auto"/>
        <w:bottom w:val="none" w:sz="0" w:space="0" w:color="auto"/>
        <w:right w:val="none" w:sz="0" w:space="0" w:color="auto"/>
      </w:divBdr>
    </w:div>
    <w:div w:id="1583375746">
      <w:bodyDiv w:val="1"/>
      <w:marLeft w:val="0"/>
      <w:marRight w:val="0"/>
      <w:marTop w:val="0"/>
      <w:marBottom w:val="0"/>
      <w:divBdr>
        <w:top w:val="none" w:sz="0" w:space="0" w:color="auto"/>
        <w:left w:val="none" w:sz="0" w:space="0" w:color="auto"/>
        <w:bottom w:val="none" w:sz="0" w:space="0" w:color="auto"/>
        <w:right w:val="none" w:sz="0" w:space="0" w:color="auto"/>
      </w:divBdr>
    </w:div>
    <w:div w:id="1866940495">
      <w:bodyDiv w:val="1"/>
      <w:marLeft w:val="0"/>
      <w:marRight w:val="0"/>
      <w:marTop w:val="0"/>
      <w:marBottom w:val="0"/>
      <w:divBdr>
        <w:top w:val="none" w:sz="0" w:space="0" w:color="auto"/>
        <w:left w:val="none" w:sz="0" w:space="0" w:color="auto"/>
        <w:bottom w:val="none" w:sz="0" w:space="0" w:color="auto"/>
        <w:right w:val="none" w:sz="0" w:space="0" w:color="auto"/>
      </w:divBdr>
    </w:div>
    <w:div w:id="1869829010">
      <w:bodyDiv w:val="1"/>
      <w:marLeft w:val="0"/>
      <w:marRight w:val="0"/>
      <w:marTop w:val="0"/>
      <w:marBottom w:val="0"/>
      <w:divBdr>
        <w:top w:val="none" w:sz="0" w:space="0" w:color="auto"/>
        <w:left w:val="none" w:sz="0" w:space="0" w:color="auto"/>
        <w:bottom w:val="none" w:sz="0" w:space="0" w:color="auto"/>
        <w:right w:val="none" w:sz="0" w:space="0" w:color="auto"/>
      </w:divBdr>
    </w:div>
    <w:div w:id="19749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BY-LAWS</vt:lpstr>
    </vt:vector>
  </TitlesOfParts>
  <Company>Pa Public Utility Commission</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David Brown</dc:creator>
  <cp:keywords/>
  <cp:lastModifiedBy>Brandon Siegel</cp:lastModifiedBy>
  <cp:revision>3</cp:revision>
  <cp:lastPrinted>2009-11-04T17:35:00Z</cp:lastPrinted>
  <dcterms:created xsi:type="dcterms:W3CDTF">2014-02-07T15:49:00Z</dcterms:created>
  <dcterms:modified xsi:type="dcterms:W3CDTF">2014-02-07T16:01:00Z</dcterms:modified>
</cp:coreProperties>
</file>