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09" w:rsidRPr="00242BFB" w:rsidRDefault="00333CB9">
      <w:pPr>
        <w:pStyle w:val="Title"/>
        <w:rPr>
          <w:sz w:val="24"/>
          <w:szCs w:val="24"/>
        </w:rPr>
      </w:pPr>
      <w:bookmarkStart w:id="0" w:name="_GoBack"/>
      <w:bookmarkEnd w:id="0"/>
      <w:r w:rsidRPr="00242BFB">
        <w:rPr>
          <w:sz w:val="24"/>
          <w:szCs w:val="24"/>
        </w:rPr>
        <w:t xml:space="preserve">EDEWG </w:t>
      </w:r>
      <w:r w:rsidR="00502C5C" w:rsidRPr="00242BFB">
        <w:rPr>
          <w:sz w:val="24"/>
          <w:szCs w:val="24"/>
        </w:rPr>
        <w:t xml:space="preserve">Meeting </w:t>
      </w:r>
      <w:r w:rsidR="00D4356E">
        <w:rPr>
          <w:sz w:val="24"/>
          <w:szCs w:val="24"/>
        </w:rPr>
        <w:t>10</w:t>
      </w:r>
      <w:r w:rsidR="006D0C89" w:rsidRPr="00242BFB">
        <w:rPr>
          <w:sz w:val="24"/>
          <w:szCs w:val="24"/>
        </w:rPr>
        <w:t>/</w:t>
      </w:r>
      <w:r w:rsidR="00D4356E">
        <w:rPr>
          <w:sz w:val="24"/>
          <w:szCs w:val="24"/>
        </w:rPr>
        <w:t>13</w:t>
      </w:r>
      <w:r w:rsidR="000A25C6" w:rsidRPr="00242BFB">
        <w:rPr>
          <w:sz w:val="24"/>
          <w:szCs w:val="24"/>
        </w:rPr>
        <w:t>/</w:t>
      </w:r>
      <w:r w:rsidR="00A83742" w:rsidRPr="00242BFB">
        <w:rPr>
          <w:sz w:val="24"/>
          <w:szCs w:val="24"/>
        </w:rPr>
        <w:t>2011</w:t>
      </w:r>
    </w:p>
    <w:p w:rsidR="00710809" w:rsidRPr="00242BFB" w:rsidRDefault="00710809">
      <w:pPr>
        <w:rPr>
          <w:sz w:val="24"/>
          <w:szCs w:val="24"/>
        </w:rPr>
      </w:pPr>
    </w:p>
    <w:p w:rsidR="00710809" w:rsidRPr="00242BFB" w:rsidRDefault="00710809">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6D708E" w:rsidRPr="00242BFB">
        <w:rPr>
          <w:sz w:val="24"/>
          <w:szCs w:val="24"/>
        </w:rPr>
        <w:t xml:space="preserve"> </w:t>
      </w:r>
      <w:r w:rsidR="00E66538" w:rsidRPr="00242BFB">
        <w:rPr>
          <w:sz w:val="24"/>
          <w:szCs w:val="24"/>
        </w:rPr>
        <w:t xml:space="preserve">Duquesne Light, </w:t>
      </w:r>
      <w:r w:rsidR="00617963" w:rsidRPr="00242BFB">
        <w:rPr>
          <w:sz w:val="24"/>
          <w:szCs w:val="24"/>
        </w:rPr>
        <w:t xml:space="preserve">First Energy (MetEd, Penelec, </w:t>
      </w:r>
      <w:r w:rsidR="00E46860" w:rsidRPr="00242BFB">
        <w:rPr>
          <w:sz w:val="24"/>
          <w:szCs w:val="24"/>
        </w:rPr>
        <w:t>Penn Power</w:t>
      </w:r>
      <w:r w:rsidR="00741B6D" w:rsidRPr="00242BFB">
        <w:rPr>
          <w:sz w:val="24"/>
          <w:szCs w:val="24"/>
        </w:rPr>
        <w:t xml:space="preserve"> &amp; West Penn Power</w:t>
      </w:r>
      <w:r w:rsidR="00EA31AA" w:rsidRPr="00242BFB">
        <w:rPr>
          <w:sz w:val="24"/>
          <w:szCs w:val="24"/>
        </w:rPr>
        <w:t xml:space="preserve">), </w:t>
      </w:r>
      <w:r w:rsidR="00741B6D" w:rsidRPr="00242BFB">
        <w:rPr>
          <w:sz w:val="24"/>
          <w:szCs w:val="24"/>
        </w:rPr>
        <w:t xml:space="preserve">PECO, </w:t>
      </w:r>
      <w:r w:rsidR="006C35A5" w:rsidRPr="00242BFB">
        <w:rPr>
          <w:sz w:val="24"/>
          <w:szCs w:val="24"/>
        </w:rPr>
        <w:t>PPL</w:t>
      </w:r>
      <w:r w:rsidR="00DF71BC" w:rsidRPr="00242BFB">
        <w:rPr>
          <w:sz w:val="24"/>
          <w:szCs w:val="24"/>
        </w:rPr>
        <w:t xml:space="preserve"> </w:t>
      </w:r>
      <w:r w:rsidR="00F94FC4" w:rsidRPr="00242BFB">
        <w:rPr>
          <w:sz w:val="24"/>
          <w:szCs w:val="24"/>
        </w:rPr>
        <w:t xml:space="preserve">Electric </w:t>
      </w:r>
      <w:r w:rsidR="003E287B" w:rsidRPr="00242BFB">
        <w:rPr>
          <w:sz w:val="24"/>
          <w:szCs w:val="24"/>
        </w:rPr>
        <w:t>Utilities</w:t>
      </w:r>
      <w:r w:rsidR="00EA31AA" w:rsidRPr="00242BFB">
        <w:rPr>
          <w:sz w:val="24"/>
          <w:szCs w:val="24"/>
        </w:rPr>
        <w:t>, and UGI Utilities</w:t>
      </w:r>
    </w:p>
    <w:p w:rsidR="00710809" w:rsidRPr="00242BFB" w:rsidRDefault="00710809">
      <w:pPr>
        <w:rPr>
          <w:sz w:val="24"/>
          <w:szCs w:val="24"/>
        </w:rPr>
      </w:pPr>
    </w:p>
    <w:p w:rsidR="00710809" w:rsidRDefault="00710809">
      <w:pPr>
        <w:rPr>
          <w:sz w:val="24"/>
          <w:szCs w:val="24"/>
        </w:rPr>
      </w:pPr>
      <w:r w:rsidRPr="00242BFB">
        <w:rPr>
          <w:b/>
          <w:sz w:val="24"/>
          <w:szCs w:val="24"/>
          <w:u w:val="single"/>
        </w:rPr>
        <w:t>Suppliers/Service Providers</w:t>
      </w:r>
      <w:r w:rsidRPr="00242BFB">
        <w:rPr>
          <w:sz w:val="24"/>
          <w:szCs w:val="24"/>
          <w:u w:val="single"/>
        </w:rPr>
        <w:t>:</w:t>
      </w:r>
      <w:r w:rsidR="003E287B" w:rsidRPr="00242BFB">
        <w:rPr>
          <w:sz w:val="24"/>
          <w:szCs w:val="24"/>
        </w:rPr>
        <w:t xml:space="preserve"> </w:t>
      </w:r>
      <w:r w:rsidR="00741B6D" w:rsidRPr="00242BFB">
        <w:rPr>
          <w:sz w:val="24"/>
          <w:szCs w:val="24"/>
        </w:rPr>
        <w:t>Ista</w:t>
      </w:r>
      <w:r w:rsidR="00D934C2" w:rsidRPr="00242BFB">
        <w:rPr>
          <w:sz w:val="24"/>
          <w:szCs w:val="24"/>
        </w:rPr>
        <w:t xml:space="preserve">, </w:t>
      </w:r>
      <w:r w:rsidR="00EA31AA" w:rsidRPr="00242BFB">
        <w:rPr>
          <w:sz w:val="24"/>
          <w:szCs w:val="24"/>
        </w:rPr>
        <w:t xml:space="preserve">Constellation New Energy, </w:t>
      </w:r>
      <w:r w:rsidR="00B824D7" w:rsidRPr="00242BFB">
        <w:rPr>
          <w:sz w:val="24"/>
          <w:szCs w:val="24"/>
        </w:rPr>
        <w:t>Ene</w:t>
      </w:r>
      <w:r w:rsidR="00D934C2" w:rsidRPr="00242BFB">
        <w:rPr>
          <w:sz w:val="24"/>
          <w:szCs w:val="24"/>
        </w:rPr>
        <w:t xml:space="preserve">rgy Services Group, </w:t>
      </w:r>
      <w:r w:rsidR="00705F53" w:rsidRPr="00242BFB">
        <w:rPr>
          <w:sz w:val="24"/>
          <w:szCs w:val="24"/>
        </w:rPr>
        <w:t>EC InfoSystems,</w:t>
      </w:r>
      <w:r w:rsidR="004E0B26" w:rsidRPr="00242BFB">
        <w:rPr>
          <w:sz w:val="24"/>
          <w:szCs w:val="24"/>
        </w:rPr>
        <w:t xml:space="preserve"> </w:t>
      </w:r>
      <w:r w:rsidR="00F82374" w:rsidRPr="00242BFB">
        <w:rPr>
          <w:sz w:val="24"/>
          <w:szCs w:val="24"/>
        </w:rPr>
        <w:t xml:space="preserve">GDF Suez, </w:t>
      </w:r>
      <w:r w:rsidR="00DD2044" w:rsidRPr="00242BFB">
        <w:rPr>
          <w:sz w:val="24"/>
          <w:szCs w:val="24"/>
        </w:rPr>
        <w:t>Blue</w:t>
      </w:r>
      <w:r w:rsidR="00F82374" w:rsidRPr="00242BFB">
        <w:rPr>
          <w:sz w:val="24"/>
          <w:szCs w:val="24"/>
        </w:rPr>
        <w:t>Star Energy</w:t>
      </w:r>
      <w:r w:rsidR="00DF5FF4" w:rsidRPr="00242BFB">
        <w:rPr>
          <w:sz w:val="24"/>
          <w:szCs w:val="24"/>
        </w:rPr>
        <w:t>,  First Energy Solutions</w:t>
      </w:r>
      <w:r w:rsidR="00D92AA4" w:rsidRPr="00242BFB">
        <w:rPr>
          <w:sz w:val="24"/>
          <w:szCs w:val="24"/>
        </w:rPr>
        <w:t>, Energy</w:t>
      </w:r>
      <w:r w:rsidR="00C873B8" w:rsidRPr="00242BFB">
        <w:rPr>
          <w:sz w:val="24"/>
          <w:szCs w:val="24"/>
        </w:rPr>
        <w:t xml:space="preserve"> Plus</w:t>
      </w:r>
      <w:r w:rsidR="00D92AA4" w:rsidRPr="00242BFB">
        <w:rPr>
          <w:sz w:val="24"/>
          <w:szCs w:val="24"/>
        </w:rPr>
        <w:t>,</w:t>
      </w:r>
      <w:r w:rsidR="00EA31AA" w:rsidRPr="00242BFB">
        <w:rPr>
          <w:sz w:val="24"/>
          <w:szCs w:val="24"/>
        </w:rPr>
        <w:t xml:space="preserve"> </w:t>
      </w:r>
      <w:r w:rsidR="00BD37C3">
        <w:rPr>
          <w:sz w:val="24"/>
          <w:szCs w:val="24"/>
        </w:rPr>
        <w:t xml:space="preserve">Brighten Energy, </w:t>
      </w:r>
      <w:r w:rsidR="00EE4E16">
        <w:rPr>
          <w:sz w:val="24"/>
          <w:szCs w:val="24"/>
        </w:rPr>
        <w:t xml:space="preserve">Accenture, </w:t>
      </w:r>
      <w:r w:rsidR="00C873B8" w:rsidRPr="00242BFB">
        <w:rPr>
          <w:sz w:val="24"/>
          <w:szCs w:val="24"/>
        </w:rPr>
        <w:t>Exelon Energy</w:t>
      </w:r>
      <w:r w:rsidR="00BD37C3">
        <w:rPr>
          <w:sz w:val="24"/>
          <w:szCs w:val="24"/>
        </w:rPr>
        <w:t>, Dominion Retail, UGI Energy Services, PPL Solutions, Direct Energy, and Direct Energy Business</w:t>
      </w:r>
    </w:p>
    <w:p w:rsidR="006C2757" w:rsidRDefault="006C2757">
      <w:pPr>
        <w:rPr>
          <w:sz w:val="24"/>
          <w:szCs w:val="24"/>
        </w:rPr>
      </w:pPr>
    </w:p>
    <w:p w:rsidR="0061069E" w:rsidRPr="00242BFB" w:rsidRDefault="0061069E"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F140F0" w:rsidRPr="00242BFB" w:rsidRDefault="00F140F0" w:rsidP="0061069E">
      <w:pPr>
        <w:autoSpaceDE w:val="0"/>
        <w:autoSpaceDN w:val="0"/>
        <w:adjustRightInd w:val="0"/>
        <w:rPr>
          <w:b/>
          <w:bCs/>
          <w:color w:val="000000"/>
          <w:sz w:val="24"/>
          <w:szCs w:val="24"/>
          <w:u w:val="single"/>
        </w:rPr>
      </w:pPr>
    </w:p>
    <w:p w:rsidR="00D4356E" w:rsidRPr="00D4356E" w:rsidRDefault="00D4356E" w:rsidP="00D4356E">
      <w:pPr>
        <w:pStyle w:val="ListParagraph"/>
        <w:numPr>
          <w:ilvl w:val="0"/>
          <w:numId w:val="15"/>
        </w:numPr>
        <w:rPr>
          <w:sz w:val="24"/>
          <w:szCs w:val="24"/>
        </w:rPr>
      </w:pPr>
      <w:r w:rsidRPr="00D4356E">
        <w:rPr>
          <w:sz w:val="24"/>
          <w:szCs w:val="24"/>
        </w:rPr>
        <w:t>Introductions &amp; Roll Call</w:t>
      </w:r>
    </w:p>
    <w:p w:rsidR="00D4356E" w:rsidRPr="00D4356E" w:rsidRDefault="00D4356E" w:rsidP="00D4356E">
      <w:pPr>
        <w:pStyle w:val="ListParagraph"/>
        <w:numPr>
          <w:ilvl w:val="0"/>
          <w:numId w:val="15"/>
        </w:numPr>
        <w:rPr>
          <w:sz w:val="24"/>
          <w:szCs w:val="24"/>
        </w:rPr>
      </w:pPr>
      <w:r w:rsidRPr="00D4356E">
        <w:rPr>
          <w:sz w:val="24"/>
          <w:szCs w:val="24"/>
        </w:rPr>
        <w:t xml:space="preserve">Approve </w:t>
      </w:r>
      <w:r w:rsidRPr="00D4356E">
        <w:rPr>
          <w:color w:val="000000"/>
          <w:sz w:val="24"/>
          <w:szCs w:val="24"/>
        </w:rPr>
        <w:t>September</w:t>
      </w:r>
      <w:r w:rsidRPr="00D4356E">
        <w:rPr>
          <w:sz w:val="24"/>
          <w:szCs w:val="24"/>
        </w:rPr>
        <w:t xml:space="preserve"> Meeting Minutes</w:t>
      </w:r>
    </w:p>
    <w:p w:rsidR="00D4356E" w:rsidRPr="00D4356E" w:rsidRDefault="00D4356E" w:rsidP="00D4356E">
      <w:pPr>
        <w:pStyle w:val="ListParagraph"/>
        <w:numPr>
          <w:ilvl w:val="0"/>
          <w:numId w:val="15"/>
        </w:numPr>
        <w:rPr>
          <w:sz w:val="24"/>
          <w:szCs w:val="24"/>
        </w:rPr>
      </w:pPr>
      <w:r w:rsidRPr="00D4356E">
        <w:rPr>
          <w:sz w:val="24"/>
          <w:szCs w:val="24"/>
        </w:rPr>
        <w:t>EDI Change Control</w:t>
      </w:r>
    </w:p>
    <w:p w:rsidR="00D4356E" w:rsidRPr="00D4356E" w:rsidRDefault="00D4356E" w:rsidP="00D4356E">
      <w:pPr>
        <w:pStyle w:val="ListParagraph"/>
        <w:ind w:left="888"/>
        <w:rPr>
          <w:sz w:val="24"/>
          <w:szCs w:val="24"/>
        </w:rPr>
      </w:pPr>
      <w:r w:rsidRPr="00D4356E">
        <w:rPr>
          <w:color w:val="000000"/>
          <w:sz w:val="24"/>
          <w:szCs w:val="24"/>
        </w:rPr>
        <w:t>CC #085 – Special Meter Configuration [status update]</w:t>
      </w:r>
    </w:p>
    <w:p w:rsidR="00D4356E" w:rsidRPr="00D4356E" w:rsidRDefault="00D4356E" w:rsidP="00D4356E">
      <w:pPr>
        <w:pStyle w:val="ListParagraph"/>
        <w:ind w:left="888"/>
        <w:rPr>
          <w:sz w:val="24"/>
          <w:szCs w:val="24"/>
        </w:rPr>
      </w:pPr>
      <w:r w:rsidRPr="00D4356E">
        <w:rPr>
          <w:color w:val="000000"/>
          <w:sz w:val="24"/>
          <w:szCs w:val="24"/>
        </w:rPr>
        <w:t>CC #087 – Future PLC/NSPL values in 867 HU/HIU [status update]</w:t>
      </w:r>
    </w:p>
    <w:p w:rsidR="00D4356E" w:rsidRPr="00D4356E" w:rsidRDefault="00D4356E" w:rsidP="00D4356E">
      <w:pPr>
        <w:pStyle w:val="ListParagraph"/>
        <w:ind w:left="888"/>
        <w:rPr>
          <w:color w:val="000000"/>
          <w:sz w:val="24"/>
          <w:szCs w:val="24"/>
        </w:rPr>
      </w:pPr>
      <w:r w:rsidRPr="00D4356E">
        <w:rPr>
          <w:color w:val="000000"/>
          <w:sz w:val="24"/>
          <w:szCs w:val="24"/>
        </w:rPr>
        <w:t>CC #090 – Add REF03 to Special Meter Configuration [updated]</w:t>
      </w:r>
    </w:p>
    <w:p w:rsidR="00D4356E" w:rsidRPr="00D4356E" w:rsidRDefault="00D4356E" w:rsidP="00D4356E">
      <w:pPr>
        <w:pStyle w:val="ListParagraph"/>
        <w:ind w:left="888"/>
        <w:rPr>
          <w:color w:val="000000"/>
          <w:sz w:val="24"/>
          <w:szCs w:val="24"/>
        </w:rPr>
      </w:pPr>
      <w:r w:rsidRPr="00D4356E">
        <w:rPr>
          <w:color w:val="000000"/>
          <w:sz w:val="24"/>
          <w:szCs w:val="24"/>
        </w:rPr>
        <w:t>CC #091 – Clarify BIG02 as unique in 810 LDC</w:t>
      </w:r>
    </w:p>
    <w:p w:rsidR="00D4356E" w:rsidRPr="00D4356E" w:rsidRDefault="00D4356E" w:rsidP="00D4356E">
      <w:pPr>
        <w:pStyle w:val="ListParagraph"/>
        <w:numPr>
          <w:ilvl w:val="0"/>
          <w:numId w:val="15"/>
        </w:numPr>
        <w:rPr>
          <w:color w:val="000000"/>
          <w:sz w:val="24"/>
          <w:szCs w:val="24"/>
        </w:rPr>
      </w:pPr>
      <w:r w:rsidRPr="00D4356E">
        <w:rPr>
          <w:color w:val="000000"/>
          <w:sz w:val="24"/>
          <w:szCs w:val="24"/>
        </w:rPr>
        <w:t>Status of EDI Implementation Guide Redline</w:t>
      </w:r>
    </w:p>
    <w:p w:rsidR="00D4356E" w:rsidRPr="00D4356E" w:rsidRDefault="00D4356E" w:rsidP="00D4356E">
      <w:pPr>
        <w:pStyle w:val="ListParagraph"/>
        <w:numPr>
          <w:ilvl w:val="0"/>
          <w:numId w:val="15"/>
        </w:numPr>
        <w:rPr>
          <w:color w:val="000000"/>
          <w:sz w:val="24"/>
          <w:szCs w:val="24"/>
        </w:rPr>
      </w:pPr>
      <w:r w:rsidRPr="00D4356E">
        <w:rPr>
          <w:color w:val="000000"/>
          <w:sz w:val="24"/>
          <w:szCs w:val="24"/>
        </w:rPr>
        <w:t>Reiterate system to system EDI certification requirement</w:t>
      </w:r>
    </w:p>
    <w:p w:rsidR="00D4356E" w:rsidRPr="00D4356E" w:rsidRDefault="00D4356E" w:rsidP="00D4356E">
      <w:pPr>
        <w:pStyle w:val="ListParagraph"/>
        <w:numPr>
          <w:ilvl w:val="0"/>
          <w:numId w:val="15"/>
        </w:numPr>
        <w:rPr>
          <w:color w:val="000000"/>
          <w:sz w:val="24"/>
          <w:szCs w:val="24"/>
        </w:rPr>
      </w:pPr>
      <w:r w:rsidRPr="00D4356E">
        <w:rPr>
          <w:color w:val="000000"/>
          <w:sz w:val="24"/>
          <w:szCs w:val="24"/>
        </w:rPr>
        <w:t xml:space="preserve">Status of 2011 Annual Plan </w:t>
      </w:r>
    </w:p>
    <w:p w:rsidR="00D4356E" w:rsidRPr="00D4356E" w:rsidRDefault="00D4356E" w:rsidP="00D4356E">
      <w:pPr>
        <w:pStyle w:val="ListParagraph"/>
        <w:numPr>
          <w:ilvl w:val="0"/>
          <w:numId w:val="15"/>
        </w:numPr>
        <w:rPr>
          <w:sz w:val="24"/>
          <w:szCs w:val="24"/>
        </w:rPr>
      </w:pPr>
      <w:r w:rsidRPr="00D4356E">
        <w:rPr>
          <w:sz w:val="24"/>
          <w:szCs w:val="24"/>
        </w:rPr>
        <w:t>New Business</w:t>
      </w:r>
    </w:p>
    <w:p w:rsidR="00D4356E" w:rsidRPr="00D4356E" w:rsidRDefault="00D4356E" w:rsidP="00D4356E">
      <w:pPr>
        <w:pStyle w:val="ListParagraph"/>
        <w:numPr>
          <w:ilvl w:val="0"/>
          <w:numId w:val="15"/>
        </w:numPr>
        <w:rPr>
          <w:sz w:val="24"/>
          <w:szCs w:val="24"/>
        </w:rPr>
      </w:pPr>
      <w:r w:rsidRPr="00D4356E">
        <w:rPr>
          <w:sz w:val="24"/>
          <w:szCs w:val="24"/>
        </w:rPr>
        <w:t>Next Meeting</w:t>
      </w:r>
    </w:p>
    <w:p w:rsidR="00CD42BB" w:rsidRPr="00242BFB" w:rsidRDefault="0061069E" w:rsidP="00A53831">
      <w:pPr>
        <w:autoSpaceDE w:val="0"/>
        <w:autoSpaceDN w:val="0"/>
        <w:adjustRightInd w:val="0"/>
        <w:rPr>
          <w:b/>
          <w:sz w:val="24"/>
          <w:szCs w:val="24"/>
          <w:u w:val="single"/>
        </w:rPr>
      </w:pPr>
      <w:r w:rsidRPr="00242BFB">
        <w:rPr>
          <w:color w:val="000000"/>
          <w:sz w:val="24"/>
          <w:szCs w:val="24"/>
        </w:rPr>
        <w:t xml:space="preserve"> </w:t>
      </w:r>
    </w:p>
    <w:p w:rsidR="00710809" w:rsidRPr="00242BFB" w:rsidRDefault="00710809">
      <w:pPr>
        <w:rPr>
          <w:b/>
          <w:snapToGrid w:val="0"/>
          <w:color w:val="000000"/>
          <w:sz w:val="24"/>
          <w:szCs w:val="24"/>
          <w:u w:val="single"/>
        </w:rPr>
      </w:pPr>
      <w:r w:rsidRPr="00242BFB">
        <w:rPr>
          <w:b/>
          <w:snapToGrid w:val="0"/>
          <w:color w:val="000000"/>
          <w:sz w:val="24"/>
          <w:szCs w:val="24"/>
          <w:u w:val="single"/>
        </w:rPr>
        <w:t>Meeting Notes:</w:t>
      </w:r>
    </w:p>
    <w:p w:rsidR="00F94FC4" w:rsidRPr="00242BFB" w:rsidRDefault="00F94FC4" w:rsidP="00F94FC4">
      <w:pPr>
        <w:autoSpaceDE w:val="0"/>
        <w:autoSpaceDN w:val="0"/>
        <w:adjustRightInd w:val="0"/>
        <w:rPr>
          <w:b/>
          <w:snapToGrid w:val="0"/>
          <w:color w:val="000000"/>
          <w:sz w:val="24"/>
          <w:szCs w:val="24"/>
          <w:u w:val="single"/>
        </w:rPr>
      </w:pPr>
    </w:p>
    <w:p w:rsidR="00CD42BB" w:rsidRPr="00242BFB" w:rsidRDefault="00DF71BC" w:rsidP="00FE672F">
      <w:pPr>
        <w:pStyle w:val="Heading2"/>
        <w:numPr>
          <w:ilvl w:val="1"/>
          <w:numId w:val="1"/>
        </w:numPr>
        <w:rPr>
          <w:szCs w:val="24"/>
        </w:rPr>
      </w:pPr>
      <w:r w:rsidRPr="00242BFB">
        <w:rPr>
          <w:szCs w:val="24"/>
        </w:rPr>
        <w:t>Introductions</w:t>
      </w:r>
      <w:r w:rsidR="008F7E78" w:rsidRPr="00242BFB">
        <w:rPr>
          <w:szCs w:val="24"/>
        </w:rPr>
        <w:t xml:space="preserve"> &amp; Roll Call</w:t>
      </w:r>
    </w:p>
    <w:p w:rsidR="00080C8C" w:rsidRDefault="008C79C0" w:rsidP="00CD42BB">
      <w:pPr>
        <w:autoSpaceDE w:val="0"/>
        <w:autoSpaceDN w:val="0"/>
        <w:adjustRightInd w:val="0"/>
        <w:rPr>
          <w:sz w:val="24"/>
          <w:szCs w:val="24"/>
        </w:rPr>
      </w:pPr>
      <w:r w:rsidRPr="00242BFB">
        <w:rPr>
          <w:sz w:val="24"/>
          <w:szCs w:val="24"/>
        </w:rPr>
        <w:t>Brandon Siegel</w:t>
      </w:r>
      <w:r w:rsidR="002C55A7" w:rsidRPr="00242BFB">
        <w:rPr>
          <w:sz w:val="24"/>
          <w:szCs w:val="24"/>
        </w:rPr>
        <w:t xml:space="preserve"> (</w:t>
      </w:r>
      <w:r w:rsidR="002B290F" w:rsidRPr="00242BFB">
        <w:rPr>
          <w:sz w:val="24"/>
          <w:szCs w:val="24"/>
        </w:rPr>
        <w:t>I</w:t>
      </w:r>
      <w:r w:rsidR="00080C8C" w:rsidRPr="00242BFB">
        <w:rPr>
          <w:sz w:val="24"/>
          <w:szCs w:val="24"/>
        </w:rPr>
        <w:t>sta</w:t>
      </w:r>
      <w:r w:rsidR="008B2CD1" w:rsidRPr="00242BFB">
        <w:rPr>
          <w:sz w:val="24"/>
          <w:szCs w:val="24"/>
        </w:rPr>
        <w:t xml:space="preserve">, </w:t>
      </w:r>
      <w:r w:rsidRPr="00242BFB">
        <w:rPr>
          <w:sz w:val="24"/>
          <w:szCs w:val="24"/>
        </w:rPr>
        <w:t>Secretary</w:t>
      </w:r>
      <w:r w:rsidR="002B290F" w:rsidRPr="00242BFB">
        <w:rPr>
          <w:sz w:val="24"/>
          <w:szCs w:val="24"/>
        </w:rPr>
        <w:t xml:space="preserve"> &amp; EDI Change Control Manager</w:t>
      </w:r>
      <w:r w:rsidR="008B2CD1" w:rsidRPr="00242BFB">
        <w:rPr>
          <w:sz w:val="24"/>
          <w:szCs w:val="24"/>
        </w:rPr>
        <w:t xml:space="preserve">) </w:t>
      </w:r>
      <w:r w:rsidR="00F140F0" w:rsidRPr="00242BFB">
        <w:rPr>
          <w:sz w:val="24"/>
          <w:szCs w:val="24"/>
        </w:rPr>
        <w:t xml:space="preserve">commenced roll </w:t>
      </w:r>
      <w:r w:rsidR="00326AB1" w:rsidRPr="00242BFB">
        <w:rPr>
          <w:sz w:val="24"/>
          <w:szCs w:val="24"/>
        </w:rPr>
        <w:t xml:space="preserve">call and facilitated the meeting.  </w:t>
      </w:r>
      <w:r w:rsidR="00B169AD" w:rsidRPr="00242BFB">
        <w:rPr>
          <w:color w:val="000000" w:themeColor="text1"/>
          <w:sz w:val="24"/>
          <w:szCs w:val="24"/>
        </w:rPr>
        <w:t xml:space="preserve">Other </w:t>
      </w:r>
      <w:r w:rsidR="00A57579" w:rsidRPr="00242BFB">
        <w:rPr>
          <w:sz w:val="24"/>
          <w:szCs w:val="24"/>
        </w:rPr>
        <w:t xml:space="preserve">EDEWG leadership </w:t>
      </w:r>
      <w:r w:rsidR="00550F0A" w:rsidRPr="00242BFB">
        <w:rPr>
          <w:sz w:val="24"/>
          <w:szCs w:val="24"/>
        </w:rPr>
        <w:t>present:</w:t>
      </w:r>
      <w:r w:rsidR="00A57579" w:rsidRPr="00242BFB">
        <w:rPr>
          <w:sz w:val="24"/>
          <w:szCs w:val="24"/>
        </w:rPr>
        <w:t xml:space="preserve"> Sue Scheet</w:t>
      </w:r>
      <w:r w:rsidR="00F82374" w:rsidRPr="00242BFB">
        <w:rPr>
          <w:sz w:val="24"/>
          <w:szCs w:val="24"/>
        </w:rPr>
        <w:t xml:space="preserve">z (PPLEU, </w:t>
      </w:r>
      <w:r w:rsidR="002B290F" w:rsidRPr="00242BFB">
        <w:rPr>
          <w:sz w:val="24"/>
          <w:szCs w:val="24"/>
        </w:rPr>
        <w:t>Utility Co-chair</w:t>
      </w:r>
      <w:r w:rsidR="00F82374" w:rsidRPr="00242BFB">
        <w:rPr>
          <w:sz w:val="24"/>
          <w:szCs w:val="24"/>
        </w:rPr>
        <w:t>)</w:t>
      </w:r>
      <w:r w:rsidR="00326AB1" w:rsidRPr="00242BFB">
        <w:rPr>
          <w:sz w:val="24"/>
          <w:szCs w:val="24"/>
        </w:rPr>
        <w:t xml:space="preserve"> and Matt Sigg (Constellation New Energy, Supplier Co-Chair)</w:t>
      </w:r>
    </w:p>
    <w:p w:rsidR="00D50609" w:rsidRPr="00242BFB" w:rsidRDefault="00D50609" w:rsidP="00CD42BB">
      <w:pPr>
        <w:autoSpaceDE w:val="0"/>
        <w:autoSpaceDN w:val="0"/>
        <w:adjustRightInd w:val="0"/>
        <w:rPr>
          <w:sz w:val="24"/>
          <w:szCs w:val="24"/>
        </w:rPr>
      </w:pPr>
    </w:p>
    <w:p w:rsidR="00B05912" w:rsidRPr="00242BFB" w:rsidRDefault="00B05912" w:rsidP="00CD42BB">
      <w:pPr>
        <w:autoSpaceDE w:val="0"/>
        <w:autoSpaceDN w:val="0"/>
        <w:adjustRightInd w:val="0"/>
        <w:rPr>
          <w:sz w:val="24"/>
          <w:szCs w:val="24"/>
        </w:rPr>
      </w:pPr>
    </w:p>
    <w:p w:rsidR="00453252" w:rsidRPr="00242BFB" w:rsidRDefault="00F000BC" w:rsidP="00FE672F">
      <w:pPr>
        <w:pStyle w:val="Heading2"/>
        <w:numPr>
          <w:ilvl w:val="1"/>
          <w:numId w:val="1"/>
        </w:numPr>
        <w:rPr>
          <w:szCs w:val="24"/>
        </w:rPr>
      </w:pPr>
      <w:r w:rsidRPr="00242BFB">
        <w:rPr>
          <w:szCs w:val="24"/>
        </w:rPr>
        <w:t>Approve Meeting Minutes</w:t>
      </w:r>
    </w:p>
    <w:p w:rsidR="00BA6A8B" w:rsidRDefault="00D92AA4" w:rsidP="00453252">
      <w:pPr>
        <w:pStyle w:val="Heading2"/>
        <w:rPr>
          <w:b w:val="0"/>
          <w:color w:val="000000"/>
          <w:szCs w:val="24"/>
        </w:rPr>
      </w:pPr>
      <w:r w:rsidRPr="00242BFB">
        <w:rPr>
          <w:b w:val="0"/>
          <w:color w:val="000000"/>
          <w:szCs w:val="24"/>
        </w:rPr>
        <w:t xml:space="preserve">The </w:t>
      </w:r>
      <w:r w:rsidR="00D4356E">
        <w:rPr>
          <w:b w:val="0"/>
          <w:color w:val="000000"/>
          <w:szCs w:val="24"/>
        </w:rPr>
        <w:t>September</w:t>
      </w:r>
      <w:r w:rsidR="00326AB1" w:rsidRPr="00242BFB">
        <w:rPr>
          <w:b w:val="0"/>
          <w:color w:val="000000"/>
          <w:szCs w:val="24"/>
        </w:rPr>
        <w:t xml:space="preserve"> meeting minutes were approved without revision</w:t>
      </w:r>
    </w:p>
    <w:p w:rsidR="00D50609" w:rsidRPr="00D50609" w:rsidRDefault="00D50609" w:rsidP="00D50609"/>
    <w:p w:rsidR="00B05912" w:rsidRPr="00242BFB" w:rsidRDefault="00B05912" w:rsidP="00453252">
      <w:pPr>
        <w:rPr>
          <w:sz w:val="24"/>
          <w:szCs w:val="24"/>
        </w:rPr>
      </w:pPr>
    </w:p>
    <w:p w:rsidR="00833191" w:rsidRPr="00242BFB" w:rsidRDefault="00833191" w:rsidP="00326AB1">
      <w:pPr>
        <w:pStyle w:val="Heading2"/>
        <w:numPr>
          <w:ilvl w:val="1"/>
          <w:numId w:val="1"/>
        </w:numPr>
        <w:rPr>
          <w:szCs w:val="24"/>
        </w:rPr>
      </w:pPr>
      <w:r w:rsidRPr="00242BFB">
        <w:rPr>
          <w:szCs w:val="24"/>
        </w:rPr>
        <w:t>EDI Change Control</w:t>
      </w:r>
    </w:p>
    <w:p w:rsidR="00F47973" w:rsidRPr="00242BFB" w:rsidRDefault="00F47973" w:rsidP="004E1576">
      <w:pPr>
        <w:pStyle w:val="Heading2"/>
        <w:numPr>
          <w:ilvl w:val="2"/>
          <w:numId w:val="1"/>
        </w:numPr>
        <w:rPr>
          <w:szCs w:val="24"/>
        </w:rPr>
      </w:pPr>
      <w:r w:rsidRPr="00242BFB">
        <w:rPr>
          <w:szCs w:val="24"/>
        </w:rPr>
        <w:t>EDI Change Control #0</w:t>
      </w:r>
      <w:r w:rsidR="00C873B8" w:rsidRPr="00242BFB">
        <w:rPr>
          <w:szCs w:val="24"/>
        </w:rPr>
        <w:t>85</w:t>
      </w:r>
      <w:r w:rsidRPr="00242BFB">
        <w:rPr>
          <w:szCs w:val="24"/>
        </w:rPr>
        <w:t xml:space="preserve"> – Add </w:t>
      </w:r>
      <w:r w:rsidR="00C873B8" w:rsidRPr="00242BFB">
        <w:rPr>
          <w:szCs w:val="24"/>
        </w:rPr>
        <w:t>Special Meter Configuration to 814 &amp; 867</w:t>
      </w:r>
    </w:p>
    <w:p w:rsidR="007011F1" w:rsidRDefault="0034758D" w:rsidP="00F47973">
      <w:pPr>
        <w:rPr>
          <w:sz w:val="24"/>
          <w:szCs w:val="24"/>
        </w:rPr>
      </w:pPr>
      <w:r w:rsidRPr="00242BFB">
        <w:rPr>
          <w:sz w:val="24"/>
          <w:szCs w:val="24"/>
        </w:rPr>
        <w:t>EDI Change Control #0</w:t>
      </w:r>
      <w:r w:rsidR="00F90AF3" w:rsidRPr="00242BFB">
        <w:rPr>
          <w:sz w:val="24"/>
          <w:szCs w:val="24"/>
        </w:rPr>
        <w:t>85 adds a new Special Meter Configuration segment to the 814 Enrollment/Change/Reinstatement and 867 Historical Usage/Historical Interval Usage transactions.   The change also adds net metering quantity qualifiers in the 867 HU/HIU transaction sets.</w:t>
      </w:r>
      <w:r w:rsidR="00242BFB" w:rsidRPr="00242BFB">
        <w:rPr>
          <w:sz w:val="24"/>
          <w:szCs w:val="24"/>
        </w:rPr>
        <w:t xml:space="preserve">   PPLEU is going forth implementing the change, other EDCs appear to be waiting for the PUC order.</w:t>
      </w:r>
      <w:r w:rsidR="00BB1EE8">
        <w:rPr>
          <w:sz w:val="24"/>
          <w:szCs w:val="24"/>
        </w:rPr>
        <w:t xml:space="preserve">  </w:t>
      </w:r>
      <w:r w:rsidR="00BB1EE8" w:rsidRPr="00242BFB">
        <w:rPr>
          <w:sz w:val="24"/>
          <w:szCs w:val="24"/>
        </w:rPr>
        <w:t xml:space="preserve">EDEWG escalated EDI CC #085 to CHARGE, </w:t>
      </w:r>
      <w:r w:rsidR="00BB1EE8" w:rsidRPr="00BB1EE8">
        <w:rPr>
          <w:sz w:val="24"/>
          <w:szCs w:val="24"/>
          <w:u w:val="single"/>
        </w:rPr>
        <w:t>the change remains pending PUC order</w:t>
      </w:r>
      <w:r w:rsidR="00BB1EE8" w:rsidRPr="00242BFB">
        <w:rPr>
          <w:sz w:val="24"/>
          <w:szCs w:val="24"/>
        </w:rPr>
        <w:t>.</w:t>
      </w:r>
    </w:p>
    <w:p w:rsidR="00D50609" w:rsidRPr="00242BFB" w:rsidRDefault="00D50609" w:rsidP="00F47973">
      <w:pPr>
        <w:rPr>
          <w:sz w:val="24"/>
          <w:szCs w:val="24"/>
        </w:rPr>
      </w:pPr>
    </w:p>
    <w:p w:rsidR="00F90AF3" w:rsidRPr="00242BFB" w:rsidRDefault="00F90AF3" w:rsidP="00F90AF3">
      <w:pPr>
        <w:pStyle w:val="Heading2"/>
        <w:numPr>
          <w:ilvl w:val="2"/>
          <w:numId w:val="1"/>
        </w:numPr>
        <w:rPr>
          <w:szCs w:val="24"/>
        </w:rPr>
      </w:pPr>
      <w:r w:rsidRPr="00242BFB">
        <w:rPr>
          <w:szCs w:val="24"/>
        </w:rPr>
        <w:t>EDI Change Control #087 – Effective Date of PLC/NSPL in 867HU/HIU</w:t>
      </w:r>
    </w:p>
    <w:p w:rsidR="00F90AF3" w:rsidRDefault="00F90AF3" w:rsidP="00F90AF3">
      <w:pPr>
        <w:rPr>
          <w:bCs/>
          <w:sz w:val="24"/>
          <w:szCs w:val="24"/>
          <w:u w:val="single"/>
        </w:rPr>
      </w:pPr>
      <w:r w:rsidRPr="00242BFB">
        <w:rPr>
          <w:sz w:val="24"/>
          <w:szCs w:val="24"/>
        </w:rPr>
        <w:t xml:space="preserve">EDI Change Control #087 </w:t>
      </w:r>
      <w:r w:rsidRPr="00242BFB">
        <w:rPr>
          <w:bCs/>
          <w:sz w:val="24"/>
          <w:szCs w:val="24"/>
        </w:rPr>
        <w:t>which adds an effective date for the PLC and NSPL values in the EDI 867HU and HIU transaction sets.</w:t>
      </w:r>
      <w:r w:rsidR="00242BFB" w:rsidRPr="00242BFB">
        <w:rPr>
          <w:bCs/>
          <w:sz w:val="24"/>
          <w:szCs w:val="24"/>
        </w:rPr>
        <w:t xml:space="preserve">   EDEWG escalated EDI CC #087 to the CHARGE, </w:t>
      </w:r>
      <w:r w:rsidR="00242BFB" w:rsidRPr="00BB1EE8">
        <w:rPr>
          <w:bCs/>
          <w:sz w:val="24"/>
          <w:szCs w:val="24"/>
          <w:u w:val="single"/>
        </w:rPr>
        <w:t>the change remains pending PUC order.</w:t>
      </w:r>
    </w:p>
    <w:p w:rsidR="00D50609" w:rsidRPr="00BB1EE8" w:rsidRDefault="00D50609" w:rsidP="00F90AF3">
      <w:pPr>
        <w:rPr>
          <w:bCs/>
          <w:sz w:val="24"/>
          <w:szCs w:val="24"/>
          <w:u w:val="single"/>
        </w:rPr>
      </w:pPr>
    </w:p>
    <w:p w:rsidR="00242BFB" w:rsidRPr="00242BFB" w:rsidRDefault="00242BFB" w:rsidP="00242BFB">
      <w:pPr>
        <w:pStyle w:val="Heading2"/>
        <w:numPr>
          <w:ilvl w:val="2"/>
          <w:numId w:val="1"/>
        </w:numPr>
        <w:rPr>
          <w:szCs w:val="24"/>
        </w:rPr>
      </w:pPr>
      <w:r w:rsidRPr="00242BFB">
        <w:rPr>
          <w:szCs w:val="24"/>
        </w:rPr>
        <w:lastRenderedPageBreak/>
        <w:t xml:space="preserve"> EDI Change Control #090 – Add REF03 to Spec Meter Configuration</w:t>
      </w:r>
    </w:p>
    <w:p w:rsidR="00242BFB" w:rsidRDefault="00242BFB" w:rsidP="00242BFB">
      <w:pPr>
        <w:rPr>
          <w:sz w:val="24"/>
          <w:szCs w:val="24"/>
        </w:rPr>
      </w:pPr>
      <w:r w:rsidRPr="00242BFB">
        <w:rPr>
          <w:sz w:val="24"/>
          <w:szCs w:val="24"/>
        </w:rPr>
        <w:t xml:space="preserve">EDI Change Control #090 </w:t>
      </w:r>
      <w:r w:rsidR="00D4356E">
        <w:rPr>
          <w:sz w:val="24"/>
          <w:szCs w:val="24"/>
        </w:rPr>
        <w:t xml:space="preserve">was updated to clear up the </w:t>
      </w:r>
      <w:r w:rsidR="00BB1EE8">
        <w:rPr>
          <w:sz w:val="24"/>
          <w:szCs w:val="24"/>
        </w:rPr>
        <w:t>samples</w:t>
      </w:r>
      <w:r w:rsidR="00D4356E">
        <w:rPr>
          <w:sz w:val="24"/>
          <w:szCs w:val="24"/>
        </w:rPr>
        <w:t xml:space="preserve"> on p.2</w:t>
      </w:r>
      <w:r w:rsidR="00BB1EE8">
        <w:rPr>
          <w:sz w:val="24"/>
          <w:szCs w:val="24"/>
        </w:rPr>
        <w:t xml:space="preserve"> &amp; 3</w:t>
      </w:r>
      <w:r w:rsidR="00E00048">
        <w:rPr>
          <w:sz w:val="24"/>
          <w:szCs w:val="24"/>
        </w:rPr>
        <w:t xml:space="preserve"> of the change control, this was an administrative update only.</w:t>
      </w:r>
    </w:p>
    <w:p w:rsidR="00D50609" w:rsidRPr="00242BFB" w:rsidRDefault="00D50609" w:rsidP="00242BFB">
      <w:pPr>
        <w:rPr>
          <w:sz w:val="24"/>
          <w:szCs w:val="24"/>
        </w:rPr>
      </w:pPr>
    </w:p>
    <w:p w:rsidR="00D4356E" w:rsidRPr="00242BFB" w:rsidRDefault="00D4356E" w:rsidP="00D4356E">
      <w:pPr>
        <w:pStyle w:val="Heading2"/>
        <w:numPr>
          <w:ilvl w:val="2"/>
          <w:numId w:val="1"/>
        </w:numPr>
        <w:rPr>
          <w:szCs w:val="24"/>
        </w:rPr>
      </w:pPr>
      <w:r w:rsidRPr="00242BFB">
        <w:rPr>
          <w:szCs w:val="24"/>
        </w:rPr>
        <w:t>EDI Change Control #090 – Add REF03 to Spec Meter Configuration</w:t>
      </w:r>
    </w:p>
    <w:p w:rsidR="00242BFB" w:rsidRPr="00242BFB" w:rsidRDefault="00D4356E" w:rsidP="00D4356E">
      <w:pPr>
        <w:rPr>
          <w:sz w:val="24"/>
          <w:szCs w:val="24"/>
        </w:rPr>
      </w:pPr>
      <w:r w:rsidRPr="00242BFB">
        <w:rPr>
          <w:sz w:val="24"/>
          <w:szCs w:val="24"/>
        </w:rPr>
        <w:t>EDI Change Control #09</w:t>
      </w:r>
      <w:r w:rsidR="00BB1EE8">
        <w:rPr>
          <w:sz w:val="24"/>
          <w:szCs w:val="24"/>
        </w:rPr>
        <w:t>1</w:t>
      </w:r>
      <w:r w:rsidRPr="00242BFB">
        <w:rPr>
          <w:sz w:val="24"/>
          <w:szCs w:val="24"/>
        </w:rPr>
        <w:t xml:space="preserve"> was submitted by </w:t>
      </w:r>
      <w:r w:rsidR="00BB1EE8">
        <w:rPr>
          <w:sz w:val="24"/>
          <w:szCs w:val="24"/>
        </w:rPr>
        <w:t xml:space="preserve">Joe Bisti (PECO) as an administrative change to the EDI 810 LDC Implementation Guideline.  The BIG02 (Invoice Number) in the data dictionary states ‘Unique number identifying this bill’.   However this is not mentioned in the BIG02 on p.34.   PECO requests the data dictionary and the description of the BIG02 to state </w:t>
      </w:r>
      <w:r w:rsidR="00BB1EE8" w:rsidRPr="00D50609">
        <w:rPr>
          <w:sz w:val="24"/>
          <w:szCs w:val="24"/>
        </w:rPr>
        <w:t>‘</w:t>
      </w:r>
      <w:r w:rsidR="00BB1EE8" w:rsidRPr="00BD37C3">
        <w:rPr>
          <w:sz w:val="24"/>
          <w:szCs w:val="24"/>
        </w:rPr>
        <w:t xml:space="preserve">Unique </w:t>
      </w:r>
      <w:r w:rsidR="00BB1EE8" w:rsidRPr="00D50609">
        <w:rPr>
          <w:sz w:val="24"/>
          <w:szCs w:val="24"/>
        </w:rPr>
        <w:t>identifying number assigned by issuer’</w:t>
      </w:r>
      <w:r w:rsidR="00D50609">
        <w:rPr>
          <w:sz w:val="24"/>
          <w:szCs w:val="24"/>
        </w:rPr>
        <w:t>.   EDEWG discussed and approved EDI CC 91 for incorporation into the next revision of the EDI guides.</w:t>
      </w:r>
    </w:p>
    <w:p w:rsidR="00F47973" w:rsidRPr="00242BFB" w:rsidRDefault="00F47973" w:rsidP="007D7AD1">
      <w:pPr>
        <w:rPr>
          <w:sz w:val="24"/>
          <w:szCs w:val="24"/>
        </w:rPr>
      </w:pPr>
    </w:p>
    <w:p w:rsidR="007171B8" w:rsidRPr="00242BFB" w:rsidRDefault="00550F0A" w:rsidP="007D7AD1">
      <w:pPr>
        <w:rPr>
          <w:sz w:val="24"/>
          <w:szCs w:val="24"/>
        </w:rPr>
      </w:pPr>
      <w:r w:rsidRPr="00242BFB">
        <w:rPr>
          <w:sz w:val="24"/>
          <w:szCs w:val="24"/>
        </w:rPr>
        <w:t xml:space="preserve">  </w:t>
      </w:r>
    </w:p>
    <w:p w:rsidR="00453252" w:rsidRPr="00242BFB" w:rsidRDefault="007011F1" w:rsidP="00326AB1">
      <w:pPr>
        <w:pStyle w:val="Heading2"/>
        <w:numPr>
          <w:ilvl w:val="1"/>
          <w:numId w:val="1"/>
        </w:numPr>
        <w:rPr>
          <w:szCs w:val="24"/>
        </w:rPr>
      </w:pPr>
      <w:r w:rsidRPr="00242BFB">
        <w:rPr>
          <w:szCs w:val="24"/>
        </w:rPr>
        <w:t xml:space="preserve"> </w:t>
      </w:r>
      <w:r w:rsidR="00D50609">
        <w:rPr>
          <w:szCs w:val="24"/>
        </w:rPr>
        <w:t>Status of EDI Implementation Guide Redline</w:t>
      </w:r>
    </w:p>
    <w:p w:rsidR="002C1214" w:rsidRPr="00242BFB" w:rsidRDefault="00D50609" w:rsidP="00707B87">
      <w:pPr>
        <w:rPr>
          <w:sz w:val="24"/>
          <w:szCs w:val="24"/>
        </w:rPr>
      </w:pPr>
      <w:r>
        <w:rPr>
          <w:sz w:val="24"/>
          <w:szCs w:val="24"/>
        </w:rPr>
        <w:t>Brandon Siegel estimates the redlines will be ready for distribution to the list server by November 15</w:t>
      </w:r>
      <w:r w:rsidRPr="00D50609">
        <w:rPr>
          <w:sz w:val="24"/>
          <w:szCs w:val="24"/>
          <w:vertAlign w:val="superscript"/>
        </w:rPr>
        <w:t>th</w:t>
      </w:r>
      <w:r>
        <w:rPr>
          <w:sz w:val="24"/>
          <w:szCs w:val="24"/>
        </w:rPr>
        <w:t>.</w:t>
      </w:r>
    </w:p>
    <w:p w:rsidR="00B05912" w:rsidRDefault="00B05912" w:rsidP="00855EA0">
      <w:pPr>
        <w:rPr>
          <w:sz w:val="24"/>
          <w:szCs w:val="24"/>
        </w:rPr>
      </w:pPr>
    </w:p>
    <w:p w:rsidR="00D50609" w:rsidRPr="00242BFB" w:rsidRDefault="00D50609" w:rsidP="00855EA0">
      <w:pPr>
        <w:rPr>
          <w:sz w:val="24"/>
          <w:szCs w:val="24"/>
        </w:rPr>
      </w:pPr>
    </w:p>
    <w:p w:rsidR="0095520E" w:rsidRDefault="0095520E" w:rsidP="00326AB1">
      <w:pPr>
        <w:pStyle w:val="Heading2"/>
        <w:numPr>
          <w:ilvl w:val="1"/>
          <w:numId w:val="1"/>
        </w:numPr>
        <w:rPr>
          <w:color w:val="000000"/>
          <w:szCs w:val="24"/>
        </w:rPr>
      </w:pPr>
      <w:r>
        <w:rPr>
          <w:color w:val="000000"/>
          <w:szCs w:val="24"/>
        </w:rPr>
        <w:t>System to System EDI Certification Requirement</w:t>
      </w:r>
    </w:p>
    <w:p w:rsidR="0095520E" w:rsidRPr="00BD37C3" w:rsidRDefault="0095520E" w:rsidP="0095520E">
      <w:pPr>
        <w:rPr>
          <w:sz w:val="24"/>
          <w:szCs w:val="24"/>
        </w:rPr>
      </w:pPr>
      <w:r w:rsidRPr="00BD37C3">
        <w:rPr>
          <w:sz w:val="24"/>
          <w:szCs w:val="24"/>
        </w:rPr>
        <w:t>Recently, PPLEU brought to EDEWG</w:t>
      </w:r>
      <w:r w:rsidR="00D25980">
        <w:rPr>
          <w:sz w:val="24"/>
          <w:szCs w:val="24"/>
        </w:rPr>
        <w:t xml:space="preserve"> leadership </w:t>
      </w:r>
      <w:r w:rsidRPr="00BD37C3">
        <w:rPr>
          <w:sz w:val="24"/>
          <w:szCs w:val="24"/>
        </w:rPr>
        <w:t>concerns regarding EGSs who are experiencing production issues which should’ve been mitigated during EDI certification.   The EDEWG reiterates the requirement for market participants to conduct full end to end system testing during the EDI certification process.</w:t>
      </w:r>
    </w:p>
    <w:p w:rsidR="0095520E" w:rsidRPr="00BD37C3" w:rsidRDefault="0095520E" w:rsidP="0095520E">
      <w:pPr>
        <w:rPr>
          <w:sz w:val="24"/>
          <w:szCs w:val="24"/>
        </w:rPr>
      </w:pPr>
    </w:p>
    <w:p w:rsidR="0095520E" w:rsidRPr="00BD37C3" w:rsidRDefault="0095520E" w:rsidP="0095520E">
      <w:pPr>
        <w:rPr>
          <w:sz w:val="24"/>
          <w:szCs w:val="24"/>
        </w:rPr>
      </w:pPr>
      <w:r w:rsidRPr="00BD37C3">
        <w:rPr>
          <w:sz w:val="24"/>
          <w:szCs w:val="24"/>
        </w:rPr>
        <w:t xml:space="preserve">PPLEU </w:t>
      </w:r>
      <w:r w:rsidR="00BD37C3" w:rsidRPr="00BD37C3">
        <w:rPr>
          <w:sz w:val="24"/>
          <w:szCs w:val="24"/>
        </w:rPr>
        <w:t>reported their test system was built to accurately test the EDI transactions used in production.   Therefore using true system to system in test should alleviate differences between test and production transactions.</w:t>
      </w:r>
    </w:p>
    <w:p w:rsidR="00BD37C3" w:rsidRPr="00BD37C3" w:rsidRDefault="00BD37C3" w:rsidP="0095520E">
      <w:pPr>
        <w:rPr>
          <w:sz w:val="24"/>
          <w:szCs w:val="24"/>
        </w:rPr>
      </w:pPr>
    </w:p>
    <w:p w:rsidR="00BD37C3" w:rsidRPr="00BD37C3" w:rsidRDefault="00BD37C3" w:rsidP="0095520E">
      <w:pPr>
        <w:rPr>
          <w:sz w:val="24"/>
          <w:szCs w:val="24"/>
        </w:rPr>
      </w:pPr>
      <w:r w:rsidRPr="00BD37C3">
        <w:rPr>
          <w:sz w:val="24"/>
          <w:szCs w:val="24"/>
        </w:rPr>
        <w:t>Any market participant with questions pertaining to the EDI certification process should read the Revised Plan and EDI Certification Plan, then contact EDEWG leadership.</w:t>
      </w:r>
    </w:p>
    <w:p w:rsidR="00BD37C3" w:rsidRDefault="00BD37C3" w:rsidP="0095520E"/>
    <w:p w:rsidR="00BD37C3" w:rsidRPr="0095520E" w:rsidRDefault="00BD37C3" w:rsidP="0095520E"/>
    <w:p w:rsidR="00BD37C3" w:rsidRDefault="00BD37C3" w:rsidP="00326AB1">
      <w:pPr>
        <w:pStyle w:val="Heading2"/>
        <w:numPr>
          <w:ilvl w:val="1"/>
          <w:numId w:val="1"/>
        </w:numPr>
        <w:rPr>
          <w:color w:val="000000"/>
          <w:szCs w:val="24"/>
        </w:rPr>
      </w:pPr>
      <w:r>
        <w:rPr>
          <w:color w:val="000000"/>
          <w:szCs w:val="24"/>
        </w:rPr>
        <w:t>2011 Annual Plan</w:t>
      </w:r>
    </w:p>
    <w:p w:rsidR="00BD37C3" w:rsidRPr="00BD37C3" w:rsidRDefault="00BD37C3" w:rsidP="00BD37C3">
      <w:pPr>
        <w:rPr>
          <w:sz w:val="24"/>
          <w:szCs w:val="24"/>
        </w:rPr>
      </w:pPr>
      <w:r w:rsidRPr="00BD37C3">
        <w:rPr>
          <w:sz w:val="24"/>
          <w:szCs w:val="24"/>
        </w:rPr>
        <w:t>No update to this item, the EDEWG leadership will meet in the next few weeks to further discuss.</w:t>
      </w:r>
    </w:p>
    <w:p w:rsidR="00BD37C3" w:rsidRDefault="00BD37C3" w:rsidP="00BD37C3"/>
    <w:p w:rsidR="00BD37C3" w:rsidRPr="00BD37C3" w:rsidRDefault="00BD37C3" w:rsidP="00BD37C3"/>
    <w:p w:rsidR="002825C1" w:rsidRPr="00242BFB" w:rsidRDefault="002825C1" w:rsidP="00326AB1">
      <w:pPr>
        <w:pStyle w:val="Heading2"/>
        <w:numPr>
          <w:ilvl w:val="1"/>
          <w:numId w:val="1"/>
        </w:numPr>
        <w:rPr>
          <w:color w:val="000000"/>
          <w:szCs w:val="24"/>
        </w:rPr>
      </w:pPr>
      <w:r w:rsidRPr="00242BFB">
        <w:rPr>
          <w:szCs w:val="24"/>
        </w:rPr>
        <w:t>New Business</w:t>
      </w:r>
    </w:p>
    <w:p w:rsidR="00707B87" w:rsidRPr="00242BFB" w:rsidRDefault="00D50609" w:rsidP="00242BFB">
      <w:pPr>
        <w:pStyle w:val="ListParagraph"/>
        <w:numPr>
          <w:ilvl w:val="0"/>
          <w:numId w:val="20"/>
        </w:numPr>
        <w:rPr>
          <w:sz w:val="24"/>
          <w:szCs w:val="24"/>
        </w:rPr>
      </w:pPr>
      <w:r>
        <w:rPr>
          <w:sz w:val="24"/>
          <w:szCs w:val="24"/>
        </w:rPr>
        <w:t>Nothing to report</w:t>
      </w:r>
    </w:p>
    <w:p w:rsidR="00242BFB" w:rsidRDefault="00242BFB" w:rsidP="00242BFB">
      <w:pPr>
        <w:rPr>
          <w:sz w:val="24"/>
          <w:szCs w:val="24"/>
        </w:rPr>
      </w:pPr>
    </w:p>
    <w:p w:rsidR="00D50609" w:rsidRPr="00242BFB" w:rsidRDefault="00D50609" w:rsidP="00242BFB">
      <w:pPr>
        <w:rPr>
          <w:sz w:val="24"/>
          <w:szCs w:val="24"/>
        </w:rPr>
      </w:pPr>
    </w:p>
    <w:p w:rsidR="007D1F4A" w:rsidRPr="00242BFB" w:rsidRDefault="008942F5" w:rsidP="00326AB1">
      <w:pPr>
        <w:pStyle w:val="Heading2"/>
        <w:numPr>
          <w:ilvl w:val="1"/>
          <w:numId w:val="1"/>
        </w:numPr>
        <w:rPr>
          <w:color w:val="000000"/>
          <w:szCs w:val="24"/>
        </w:rPr>
      </w:pPr>
      <w:r w:rsidRPr="00242BFB">
        <w:rPr>
          <w:color w:val="000000"/>
          <w:szCs w:val="24"/>
        </w:rPr>
        <w:t>Next Meeting</w:t>
      </w:r>
    </w:p>
    <w:p w:rsidR="00E24C59" w:rsidRPr="00242BFB" w:rsidRDefault="00707B87" w:rsidP="009645C1">
      <w:pPr>
        <w:autoSpaceDE w:val="0"/>
        <w:autoSpaceDN w:val="0"/>
        <w:adjustRightInd w:val="0"/>
        <w:rPr>
          <w:sz w:val="24"/>
          <w:szCs w:val="24"/>
        </w:rPr>
      </w:pPr>
      <w:r w:rsidRPr="00242BFB">
        <w:rPr>
          <w:sz w:val="24"/>
          <w:szCs w:val="24"/>
        </w:rPr>
        <w:t>The</w:t>
      </w:r>
      <w:r w:rsidR="00881D96" w:rsidRPr="00242BFB">
        <w:rPr>
          <w:sz w:val="24"/>
          <w:szCs w:val="24"/>
        </w:rPr>
        <w:t xml:space="preserve"> next </w:t>
      </w:r>
      <w:r w:rsidR="005E60EE" w:rsidRPr="00242BFB">
        <w:rPr>
          <w:sz w:val="24"/>
          <w:szCs w:val="24"/>
        </w:rPr>
        <w:t xml:space="preserve">meeting </w:t>
      </w:r>
      <w:r w:rsidR="00082752" w:rsidRPr="00242BFB">
        <w:rPr>
          <w:sz w:val="24"/>
          <w:szCs w:val="24"/>
        </w:rPr>
        <w:t xml:space="preserve">will be held on </w:t>
      </w:r>
      <w:r w:rsidR="007914CA" w:rsidRPr="00242BFB">
        <w:rPr>
          <w:color w:val="000000" w:themeColor="text1"/>
          <w:sz w:val="24"/>
          <w:szCs w:val="24"/>
        </w:rPr>
        <w:t xml:space="preserve">Thursday, </w:t>
      </w:r>
      <w:r w:rsidR="00D50609">
        <w:rPr>
          <w:color w:val="000000" w:themeColor="text1"/>
          <w:sz w:val="24"/>
          <w:szCs w:val="24"/>
        </w:rPr>
        <w:t>November</w:t>
      </w:r>
      <w:r w:rsidR="00E24C59" w:rsidRPr="00242BFB">
        <w:rPr>
          <w:color w:val="000000" w:themeColor="text1"/>
          <w:sz w:val="24"/>
          <w:szCs w:val="24"/>
        </w:rPr>
        <w:t xml:space="preserve"> </w:t>
      </w:r>
      <w:r w:rsidR="00D50609">
        <w:rPr>
          <w:color w:val="000000" w:themeColor="text1"/>
          <w:sz w:val="24"/>
          <w:szCs w:val="24"/>
        </w:rPr>
        <w:t>3rd</w:t>
      </w:r>
      <w:r w:rsidR="00E61516" w:rsidRPr="00242BFB">
        <w:rPr>
          <w:color w:val="000000" w:themeColor="text1"/>
          <w:sz w:val="24"/>
          <w:szCs w:val="24"/>
        </w:rPr>
        <w:t>,</w:t>
      </w:r>
      <w:r w:rsidR="00587511" w:rsidRPr="00242BFB">
        <w:rPr>
          <w:color w:val="000000" w:themeColor="text1"/>
          <w:sz w:val="24"/>
          <w:szCs w:val="24"/>
        </w:rPr>
        <w:t xml:space="preserve"> 2011</w:t>
      </w:r>
      <w:r w:rsidR="007914CA" w:rsidRPr="00242BFB">
        <w:rPr>
          <w:sz w:val="24"/>
          <w:szCs w:val="24"/>
        </w:rPr>
        <w:t>.</w:t>
      </w:r>
      <w:r w:rsidR="00564EAC" w:rsidRPr="00242BFB">
        <w:rPr>
          <w:sz w:val="24"/>
          <w:szCs w:val="24"/>
        </w:rPr>
        <w:t xml:space="preserve">  </w:t>
      </w:r>
      <w:r w:rsidR="007914CA" w:rsidRPr="00242BFB">
        <w:rPr>
          <w:sz w:val="24"/>
          <w:szCs w:val="24"/>
        </w:rPr>
        <w:t xml:space="preserve">To participate, </w:t>
      </w:r>
      <w:r w:rsidR="005476DA" w:rsidRPr="00242BFB">
        <w:rPr>
          <w:sz w:val="24"/>
          <w:szCs w:val="24"/>
        </w:rPr>
        <w:t>please dial 1-866-844-1871 with PIN 2551</w:t>
      </w:r>
      <w:r w:rsidR="00542B40" w:rsidRPr="00242BFB">
        <w:rPr>
          <w:sz w:val="24"/>
          <w:szCs w:val="24"/>
        </w:rPr>
        <w:t xml:space="preserve">.  </w:t>
      </w:r>
    </w:p>
    <w:p w:rsidR="00E24C59" w:rsidRPr="00242BFB" w:rsidRDefault="00E24C59" w:rsidP="009645C1">
      <w:pPr>
        <w:autoSpaceDE w:val="0"/>
        <w:autoSpaceDN w:val="0"/>
        <w:adjustRightInd w:val="0"/>
        <w:rPr>
          <w:sz w:val="24"/>
          <w:szCs w:val="24"/>
        </w:rPr>
      </w:pPr>
    </w:p>
    <w:p w:rsidR="00E24C59" w:rsidRPr="00242BFB" w:rsidRDefault="00CB533D" w:rsidP="009645C1">
      <w:pPr>
        <w:autoSpaceDE w:val="0"/>
        <w:autoSpaceDN w:val="0"/>
        <w:adjustRightInd w:val="0"/>
        <w:rPr>
          <w:iCs/>
          <w:sz w:val="24"/>
          <w:szCs w:val="24"/>
        </w:rPr>
      </w:pPr>
      <w:r w:rsidRPr="00242BFB">
        <w:rPr>
          <w:sz w:val="24"/>
          <w:szCs w:val="24"/>
        </w:rPr>
        <w:t>This conference line has a limited number of lines available.  The EDEWG leadership respectfully requests those in the same physical location meet in a central location sharing one line.</w:t>
      </w:r>
      <w:r w:rsidR="00737F0E" w:rsidRPr="00242BFB">
        <w:rPr>
          <w:sz w:val="24"/>
          <w:szCs w:val="24"/>
        </w:rPr>
        <w:t xml:space="preserve"> </w:t>
      </w:r>
      <w:r w:rsidR="00082752" w:rsidRPr="00242BFB">
        <w:rPr>
          <w:sz w:val="24"/>
          <w:szCs w:val="24"/>
        </w:rPr>
        <w:t>Please note, f</w:t>
      </w:r>
      <w:r w:rsidR="00082752" w:rsidRPr="00242BFB">
        <w:rPr>
          <w:iCs/>
          <w:sz w:val="24"/>
          <w:szCs w:val="24"/>
        </w:rPr>
        <w:t xml:space="preserve">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w:t>
      </w:r>
    </w:p>
    <w:p w:rsidR="00E24C59" w:rsidRPr="00242BFB" w:rsidRDefault="00E24C59" w:rsidP="009645C1">
      <w:pPr>
        <w:autoSpaceDE w:val="0"/>
        <w:autoSpaceDN w:val="0"/>
        <w:adjustRightInd w:val="0"/>
        <w:rPr>
          <w:iCs/>
          <w:sz w:val="24"/>
          <w:szCs w:val="24"/>
        </w:rPr>
      </w:pPr>
    </w:p>
    <w:p w:rsidR="00446067" w:rsidRPr="0087101E" w:rsidRDefault="00082752" w:rsidP="009645C1">
      <w:pPr>
        <w:autoSpaceDE w:val="0"/>
        <w:autoSpaceDN w:val="0"/>
        <w:adjustRightInd w:val="0"/>
      </w:pPr>
      <w:r w:rsidRPr="00242BFB">
        <w:rPr>
          <w:iCs/>
          <w:sz w:val="24"/>
          <w:szCs w:val="24"/>
        </w:rPr>
        <w:lastRenderedPageBreak/>
        <w:t>If you have NOT requested the Chairperson services for this bridge, THEN please ignore the Chairperson voice prompt</w:t>
      </w:r>
      <w:r w:rsidRPr="00542B40">
        <w:rPr>
          <w:iCs/>
          <w:sz w:val="24"/>
          <w:szCs w:val="24"/>
        </w:rPr>
        <w:t>.</w:t>
      </w:r>
    </w:p>
    <w:sectPr w:rsidR="00446067" w:rsidRPr="0087101E" w:rsidSect="00BA6A8B">
      <w:footerReference w:type="even" r:id="rId8"/>
      <w:footerReference w:type="default" r:id="rId9"/>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08" w:rsidRDefault="00C92708">
      <w:r>
        <w:separator/>
      </w:r>
    </w:p>
  </w:endnote>
  <w:endnote w:type="continuationSeparator" w:id="0">
    <w:p w:rsidR="00C92708" w:rsidRDefault="00C9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4F" w:rsidRDefault="00A56463">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4F" w:rsidRDefault="00A56463">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C748E8">
      <w:rPr>
        <w:rStyle w:val="PageNumber"/>
        <w:noProof/>
      </w:rPr>
      <w:t>1</w:t>
    </w:r>
    <w:r>
      <w:rPr>
        <w:rStyle w:val="PageNumber"/>
      </w:rPr>
      <w:fldChar w:fldCharType="end"/>
    </w:r>
  </w:p>
  <w:p w:rsidR="0073004F" w:rsidRDefault="00730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08" w:rsidRDefault="00C92708">
      <w:r>
        <w:separator/>
      </w:r>
    </w:p>
  </w:footnote>
  <w:footnote w:type="continuationSeparator" w:id="0">
    <w:p w:rsidR="00C92708" w:rsidRDefault="00C92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DE4F66"/>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5">
    <w:nsid w:val="1FE84123"/>
    <w:multiLevelType w:val="hybridMultilevel"/>
    <w:tmpl w:val="593CD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8">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9">
    <w:nsid w:val="36952078"/>
    <w:multiLevelType w:val="hybridMultilevel"/>
    <w:tmpl w:val="8C74D37E"/>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0">
    <w:nsid w:val="37F32088"/>
    <w:multiLevelType w:val="hybridMultilevel"/>
    <w:tmpl w:val="98ECF9AE"/>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1">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131AE"/>
    <w:multiLevelType w:val="hybridMultilevel"/>
    <w:tmpl w:val="1CD69D36"/>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15">
    <w:nsid w:val="5F1E4405"/>
    <w:multiLevelType w:val="hybridMultilevel"/>
    <w:tmpl w:val="8D56AE2E"/>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649331F3"/>
    <w:multiLevelType w:val="hybridMultilevel"/>
    <w:tmpl w:val="E40ADA76"/>
    <w:lvl w:ilvl="0" w:tplc="04090003">
      <w:start w:val="1"/>
      <w:numFmt w:val="decimal"/>
      <w:lvlText w:val="%1."/>
      <w:lvlJc w:val="left"/>
      <w:pPr>
        <w:tabs>
          <w:tab w:val="num" w:pos="696"/>
        </w:tabs>
        <w:ind w:left="6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4"/>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0"/>
  </w:num>
  <w:num w:numId="7">
    <w:abstractNumId w:val="8"/>
  </w:num>
  <w:num w:numId="8">
    <w:abstractNumId w:val="11"/>
  </w:num>
  <w:num w:numId="9">
    <w:abstractNumId w:val="7"/>
  </w:num>
  <w:num w:numId="10">
    <w:abstractNumId w:val="16"/>
  </w:num>
  <w:num w:numId="11">
    <w:abstractNumId w:val="12"/>
  </w:num>
  <w:num w:numId="12">
    <w:abstractNumId w:val="4"/>
  </w:num>
  <w:num w:numId="13">
    <w:abstractNumId w:val="5"/>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3"/>
  </w:num>
  <w:num w:numId="19">
    <w:abstractNumId w:val="17"/>
  </w:num>
  <w:num w:numId="20">
    <w:abstractNumId w:val="6"/>
  </w:num>
  <w:num w:numId="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26F44"/>
    <w:rsid w:val="001455B4"/>
    <w:rsid w:val="0014761D"/>
    <w:rsid w:val="0015035D"/>
    <w:rsid w:val="00154F22"/>
    <w:rsid w:val="0016341B"/>
    <w:rsid w:val="00165FCD"/>
    <w:rsid w:val="00174A43"/>
    <w:rsid w:val="00175A76"/>
    <w:rsid w:val="00176D8A"/>
    <w:rsid w:val="0018759D"/>
    <w:rsid w:val="00192AFC"/>
    <w:rsid w:val="00193D39"/>
    <w:rsid w:val="00194AC7"/>
    <w:rsid w:val="00194BA6"/>
    <w:rsid w:val="001A2E07"/>
    <w:rsid w:val="001B213D"/>
    <w:rsid w:val="001B2309"/>
    <w:rsid w:val="001C098D"/>
    <w:rsid w:val="001C272C"/>
    <w:rsid w:val="001C3012"/>
    <w:rsid w:val="001C6A56"/>
    <w:rsid w:val="001C775B"/>
    <w:rsid w:val="001D0068"/>
    <w:rsid w:val="001D4047"/>
    <w:rsid w:val="001E441C"/>
    <w:rsid w:val="001F5563"/>
    <w:rsid w:val="00201DD9"/>
    <w:rsid w:val="00206489"/>
    <w:rsid w:val="00214403"/>
    <w:rsid w:val="0021605A"/>
    <w:rsid w:val="00216534"/>
    <w:rsid w:val="002166C2"/>
    <w:rsid w:val="00223F3C"/>
    <w:rsid w:val="00231606"/>
    <w:rsid w:val="00231DFD"/>
    <w:rsid w:val="00232490"/>
    <w:rsid w:val="00232E9C"/>
    <w:rsid w:val="00234CEC"/>
    <w:rsid w:val="00240760"/>
    <w:rsid w:val="002427BD"/>
    <w:rsid w:val="00242BFB"/>
    <w:rsid w:val="00243B05"/>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1214"/>
    <w:rsid w:val="002C2C76"/>
    <w:rsid w:val="002C4B66"/>
    <w:rsid w:val="002C55A7"/>
    <w:rsid w:val="002D498F"/>
    <w:rsid w:val="002D4FCA"/>
    <w:rsid w:val="002D7393"/>
    <w:rsid w:val="002E0F6C"/>
    <w:rsid w:val="002E4B42"/>
    <w:rsid w:val="002E5BD0"/>
    <w:rsid w:val="002F21EA"/>
    <w:rsid w:val="002F2304"/>
    <w:rsid w:val="002F4B8D"/>
    <w:rsid w:val="002F4E32"/>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171F3"/>
    <w:rsid w:val="00422534"/>
    <w:rsid w:val="00441113"/>
    <w:rsid w:val="004424B4"/>
    <w:rsid w:val="00445DD0"/>
    <w:rsid w:val="00445E5D"/>
    <w:rsid w:val="00446067"/>
    <w:rsid w:val="00447E79"/>
    <w:rsid w:val="00450EF0"/>
    <w:rsid w:val="00453252"/>
    <w:rsid w:val="00461C95"/>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AF"/>
    <w:rsid w:val="00502C5C"/>
    <w:rsid w:val="00513084"/>
    <w:rsid w:val="00520823"/>
    <w:rsid w:val="0052468D"/>
    <w:rsid w:val="00527A40"/>
    <w:rsid w:val="00531D0B"/>
    <w:rsid w:val="00537AD2"/>
    <w:rsid w:val="00541155"/>
    <w:rsid w:val="00542B40"/>
    <w:rsid w:val="00542DB7"/>
    <w:rsid w:val="005476DA"/>
    <w:rsid w:val="00550F0A"/>
    <w:rsid w:val="00553EAA"/>
    <w:rsid w:val="00556960"/>
    <w:rsid w:val="00563A42"/>
    <w:rsid w:val="00564EAC"/>
    <w:rsid w:val="005679F0"/>
    <w:rsid w:val="00570005"/>
    <w:rsid w:val="00570149"/>
    <w:rsid w:val="00572DB4"/>
    <w:rsid w:val="005751F3"/>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E74"/>
    <w:rsid w:val="005F5C2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EC6"/>
    <w:rsid w:val="00631551"/>
    <w:rsid w:val="00636D9F"/>
    <w:rsid w:val="0064023E"/>
    <w:rsid w:val="00657485"/>
    <w:rsid w:val="00662F52"/>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2757"/>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1F1"/>
    <w:rsid w:val="00701AD3"/>
    <w:rsid w:val="007025B4"/>
    <w:rsid w:val="00702CD9"/>
    <w:rsid w:val="00705F53"/>
    <w:rsid w:val="00707B87"/>
    <w:rsid w:val="00710809"/>
    <w:rsid w:val="0071469C"/>
    <w:rsid w:val="007171B8"/>
    <w:rsid w:val="007209E4"/>
    <w:rsid w:val="007211EB"/>
    <w:rsid w:val="0072183C"/>
    <w:rsid w:val="00721A22"/>
    <w:rsid w:val="007245B4"/>
    <w:rsid w:val="00724E61"/>
    <w:rsid w:val="00727CCC"/>
    <w:rsid w:val="0073004F"/>
    <w:rsid w:val="00735BA1"/>
    <w:rsid w:val="00736F33"/>
    <w:rsid w:val="007370D3"/>
    <w:rsid w:val="00737F0E"/>
    <w:rsid w:val="0074021C"/>
    <w:rsid w:val="00740A55"/>
    <w:rsid w:val="00741B6D"/>
    <w:rsid w:val="00745DCC"/>
    <w:rsid w:val="00761702"/>
    <w:rsid w:val="007636C3"/>
    <w:rsid w:val="00763BF1"/>
    <w:rsid w:val="00767140"/>
    <w:rsid w:val="00771FC4"/>
    <w:rsid w:val="00772FBA"/>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3229"/>
    <w:rsid w:val="007E4A2A"/>
    <w:rsid w:val="007F37E4"/>
    <w:rsid w:val="007F3DCD"/>
    <w:rsid w:val="007F7A8E"/>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21AA2"/>
    <w:rsid w:val="00945BBE"/>
    <w:rsid w:val="00946B15"/>
    <w:rsid w:val="00954401"/>
    <w:rsid w:val="0095520E"/>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463"/>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989"/>
    <w:rsid w:val="00AC6124"/>
    <w:rsid w:val="00AC768F"/>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42D2"/>
    <w:rsid w:val="00BA4470"/>
    <w:rsid w:val="00BA4BC6"/>
    <w:rsid w:val="00BA6A8B"/>
    <w:rsid w:val="00BB0CB2"/>
    <w:rsid w:val="00BB0EC0"/>
    <w:rsid w:val="00BB1870"/>
    <w:rsid w:val="00BB1EE8"/>
    <w:rsid w:val="00BB20F0"/>
    <w:rsid w:val="00BB2419"/>
    <w:rsid w:val="00BB4185"/>
    <w:rsid w:val="00BB4967"/>
    <w:rsid w:val="00BC12E4"/>
    <w:rsid w:val="00BC6215"/>
    <w:rsid w:val="00BD0BCC"/>
    <w:rsid w:val="00BD37C3"/>
    <w:rsid w:val="00BD4BC4"/>
    <w:rsid w:val="00BD6F05"/>
    <w:rsid w:val="00BE1E6B"/>
    <w:rsid w:val="00BE7977"/>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48E8"/>
    <w:rsid w:val="00C76CDA"/>
    <w:rsid w:val="00C770E9"/>
    <w:rsid w:val="00C873B8"/>
    <w:rsid w:val="00C91578"/>
    <w:rsid w:val="00C9270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25980"/>
    <w:rsid w:val="00D41FB4"/>
    <w:rsid w:val="00D4356E"/>
    <w:rsid w:val="00D43E1B"/>
    <w:rsid w:val="00D44ED8"/>
    <w:rsid w:val="00D50609"/>
    <w:rsid w:val="00D51B10"/>
    <w:rsid w:val="00D54A41"/>
    <w:rsid w:val="00D5702B"/>
    <w:rsid w:val="00D76510"/>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C020A"/>
    <w:rsid w:val="00DC079F"/>
    <w:rsid w:val="00DC3501"/>
    <w:rsid w:val="00DD2044"/>
    <w:rsid w:val="00DD2438"/>
    <w:rsid w:val="00DE304A"/>
    <w:rsid w:val="00DF2CF5"/>
    <w:rsid w:val="00DF5FF4"/>
    <w:rsid w:val="00DF71BC"/>
    <w:rsid w:val="00DF7AC7"/>
    <w:rsid w:val="00E00048"/>
    <w:rsid w:val="00E00EE0"/>
    <w:rsid w:val="00E04853"/>
    <w:rsid w:val="00E15697"/>
    <w:rsid w:val="00E24445"/>
    <w:rsid w:val="00E24C59"/>
    <w:rsid w:val="00E333B5"/>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6517"/>
    <w:rsid w:val="00ED2901"/>
    <w:rsid w:val="00ED36E8"/>
    <w:rsid w:val="00ED384E"/>
    <w:rsid w:val="00ED6CF6"/>
    <w:rsid w:val="00ED7A94"/>
    <w:rsid w:val="00ED7AED"/>
    <w:rsid w:val="00EE09FB"/>
    <w:rsid w:val="00EE4E16"/>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186"/>
    <w:rsid w:val="00F63637"/>
    <w:rsid w:val="00F64327"/>
    <w:rsid w:val="00F709F8"/>
    <w:rsid w:val="00F72D02"/>
    <w:rsid w:val="00F814D4"/>
    <w:rsid w:val="00F82374"/>
    <w:rsid w:val="00F83B8F"/>
    <w:rsid w:val="00F84052"/>
    <w:rsid w:val="00F9028C"/>
    <w:rsid w:val="00F90AF3"/>
    <w:rsid w:val="00F92567"/>
    <w:rsid w:val="00F94FC4"/>
    <w:rsid w:val="00FA0B9F"/>
    <w:rsid w:val="00FA1FD9"/>
    <w:rsid w:val="00FA4CDF"/>
    <w:rsid w:val="00FB04CE"/>
    <w:rsid w:val="00FB16ED"/>
    <w:rsid w:val="00FB1C57"/>
    <w:rsid w:val="00FB64DE"/>
    <w:rsid w:val="00FC0A6E"/>
    <w:rsid w:val="00FC3272"/>
    <w:rsid w:val="00FC3C54"/>
    <w:rsid w:val="00FD02A1"/>
    <w:rsid w:val="00FD0C32"/>
    <w:rsid w:val="00FD53DB"/>
    <w:rsid w:val="00FE3C35"/>
    <w:rsid w:val="00FE5608"/>
    <w:rsid w:val="00FE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769">
      <w:bodyDiv w:val="1"/>
      <w:marLeft w:val="0"/>
      <w:marRight w:val="0"/>
      <w:marTop w:val="0"/>
      <w:marBottom w:val="0"/>
      <w:divBdr>
        <w:top w:val="none" w:sz="0" w:space="0" w:color="auto"/>
        <w:left w:val="none" w:sz="0" w:space="0" w:color="auto"/>
        <w:bottom w:val="none" w:sz="0" w:space="0" w:color="auto"/>
        <w:right w:val="none" w:sz="0" w:space="0" w:color="auto"/>
      </w:divBdr>
    </w:div>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159123712">
      <w:bodyDiv w:val="1"/>
      <w:marLeft w:val="0"/>
      <w:marRight w:val="0"/>
      <w:marTop w:val="0"/>
      <w:marBottom w:val="0"/>
      <w:divBdr>
        <w:top w:val="none" w:sz="0" w:space="0" w:color="auto"/>
        <w:left w:val="none" w:sz="0" w:space="0" w:color="auto"/>
        <w:bottom w:val="none" w:sz="0" w:space="0" w:color="auto"/>
        <w:right w:val="none" w:sz="0" w:space="0" w:color="auto"/>
      </w:divBdr>
    </w:div>
    <w:div w:id="445738098">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167549455">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annmarino</cp:lastModifiedBy>
  <cp:revision>2</cp:revision>
  <cp:lastPrinted>2009-11-10T17:04:00Z</cp:lastPrinted>
  <dcterms:created xsi:type="dcterms:W3CDTF">2012-02-22T14:52:00Z</dcterms:created>
  <dcterms:modified xsi:type="dcterms:W3CDTF">2012-02-22T14:52:00Z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