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PENNSYLVANIA</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D33578" w:rsidRPr="00387868" w:rsidRDefault="00D33578" w:rsidP="00D33578">
      <w:pPr>
        <w:tabs>
          <w:tab w:val="center" w:pos="4680"/>
        </w:tabs>
        <w:suppressAutoHyphens/>
        <w:spacing w:line="360" w:lineRule="auto"/>
        <w:jc w:val="center"/>
        <w:rPr>
          <w:b/>
          <w:bCs/>
          <w:spacing w:val="-3"/>
          <w:sz w:val="26"/>
          <w:szCs w:val="26"/>
        </w:rPr>
      </w:pPr>
    </w:p>
    <w:p w:rsidR="00D33578" w:rsidRPr="00387868" w:rsidRDefault="00D33578" w:rsidP="00D33578">
      <w:pPr>
        <w:tabs>
          <w:tab w:val="right" w:pos="9360"/>
        </w:tabs>
        <w:suppressAutoHyphens/>
        <w:spacing w:line="360" w:lineRule="auto"/>
        <w:rPr>
          <w:sz w:val="26"/>
          <w:szCs w:val="26"/>
        </w:rPr>
      </w:pPr>
      <w:r w:rsidRPr="00387868">
        <w:rPr>
          <w:sz w:val="26"/>
          <w:szCs w:val="26"/>
        </w:rPr>
        <w:tab/>
        <w:t xml:space="preserve">Public Meeting held </w:t>
      </w:r>
      <w:r>
        <w:rPr>
          <w:sz w:val="26"/>
          <w:szCs w:val="26"/>
        </w:rPr>
        <w:t>September 3</w:t>
      </w:r>
      <w:r w:rsidRPr="00387868">
        <w:rPr>
          <w:sz w:val="26"/>
          <w:szCs w:val="26"/>
        </w:rPr>
        <w:t>, 201</w:t>
      </w:r>
      <w:r>
        <w:rPr>
          <w:sz w:val="26"/>
          <w:szCs w:val="26"/>
        </w:rPr>
        <w:t>5</w:t>
      </w:r>
    </w:p>
    <w:p w:rsidR="00D33578" w:rsidRPr="00387868" w:rsidRDefault="00D33578" w:rsidP="00D33578">
      <w:pPr>
        <w:tabs>
          <w:tab w:val="right" w:pos="9360"/>
        </w:tabs>
        <w:suppressAutoHyphens/>
        <w:spacing w:line="360" w:lineRule="auto"/>
        <w:rPr>
          <w:sz w:val="26"/>
          <w:szCs w:val="26"/>
        </w:rPr>
      </w:pPr>
    </w:p>
    <w:p w:rsidR="00D33578" w:rsidRPr="00387868" w:rsidRDefault="00D33578" w:rsidP="00D33578">
      <w:pPr>
        <w:tabs>
          <w:tab w:val="left" w:pos="-720"/>
        </w:tabs>
        <w:suppressAutoHyphens/>
        <w:spacing w:line="360" w:lineRule="auto"/>
        <w:rPr>
          <w:sz w:val="26"/>
          <w:szCs w:val="26"/>
        </w:rPr>
      </w:pPr>
    </w:p>
    <w:p w:rsidR="00D33578" w:rsidRPr="00387868" w:rsidRDefault="00D33578" w:rsidP="00D33578">
      <w:pPr>
        <w:tabs>
          <w:tab w:val="left" w:pos="-720"/>
        </w:tabs>
        <w:suppressAutoHyphens/>
        <w:rPr>
          <w:sz w:val="26"/>
          <w:szCs w:val="26"/>
        </w:rPr>
      </w:pPr>
      <w:r w:rsidRPr="00387868">
        <w:rPr>
          <w:sz w:val="26"/>
          <w:szCs w:val="26"/>
        </w:rPr>
        <w:t>Commissioners Present:</w:t>
      </w:r>
    </w:p>
    <w:p w:rsidR="00D33578" w:rsidRPr="00387868" w:rsidRDefault="00D33578" w:rsidP="00D33578">
      <w:pPr>
        <w:tabs>
          <w:tab w:val="left" w:pos="-720"/>
        </w:tabs>
        <w:suppressAutoHyphens/>
        <w:rPr>
          <w:sz w:val="26"/>
          <w:szCs w:val="26"/>
        </w:rPr>
      </w:pPr>
    </w:p>
    <w:p w:rsidR="00EC34CC" w:rsidRPr="009253EE" w:rsidRDefault="00EC34CC" w:rsidP="00D54FAE">
      <w:pPr>
        <w:pStyle w:val="p5"/>
        <w:ind w:left="720"/>
        <w:rPr>
          <w:sz w:val="26"/>
          <w:szCs w:val="26"/>
        </w:rPr>
      </w:pPr>
      <w:r w:rsidRPr="009253EE">
        <w:rPr>
          <w:sz w:val="26"/>
          <w:szCs w:val="26"/>
        </w:rPr>
        <w:t xml:space="preserve">Gladys M. Brown, Chairman       </w:t>
      </w:r>
    </w:p>
    <w:p w:rsidR="00EC34CC" w:rsidRPr="009253EE" w:rsidRDefault="00EC34CC" w:rsidP="00D54FAE">
      <w:pPr>
        <w:pStyle w:val="p5"/>
        <w:ind w:left="720"/>
        <w:rPr>
          <w:sz w:val="26"/>
          <w:szCs w:val="26"/>
        </w:rPr>
      </w:pPr>
      <w:r w:rsidRPr="009253EE">
        <w:rPr>
          <w:sz w:val="26"/>
          <w:szCs w:val="26"/>
        </w:rPr>
        <w:t>John F. Coleman, Jr., Vice Chairman</w:t>
      </w:r>
    </w:p>
    <w:p w:rsidR="00EC34CC" w:rsidRPr="009253EE" w:rsidRDefault="00EC34CC" w:rsidP="00D54FAE">
      <w:pPr>
        <w:pStyle w:val="p5"/>
        <w:ind w:left="720"/>
        <w:rPr>
          <w:sz w:val="26"/>
          <w:szCs w:val="26"/>
        </w:rPr>
      </w:pPr>
      <w:r w:rsidRPr="009253EE">
        <w:rPr>
          <w:sz w:val="26"/>
          <w:szCs w:val="26"/>
        </w:rPr>
        <w:t>James H. Cawley</w:t>
      </w:r>
    </w:p>
    <w:p w:rsidR="00EC34CC" w:rsidRPr="009253EE" w:rsidRDefault="00EC34CC" w:rsidP="00D54FAE">
      <w:pPr>
        <w:pStyle w:val="p5"/>
        <w:ind w:left="720"/>
        <w:rPr>
          <w:sz w:val="26"/>
          <w:szCs w:val="26"/>
        </w:rPr>
      </w:pPr>
      <w:r w:rsidRPr="009253EE">
        <w:rPr>
          <w:sz w:val="26"/>
          <w:szCs w:val="26"/>
        </w:rPr>
        <w:t>Pamela A. Witmer</w:t>
      </w:r>
    </w:p>
    <w:p w:rsidR="00D33578" w:rsidRPr="00387868" w:rsidRDefault="00EC34CC" w:rsidP="00D54FAE">
      <w:pPr>
        <w:tabs>
          <w:tab w:val="left" w:pos="-720"/>
        </w:tabs>
        <w:suppressAutoHyphens/>
        <w:rPr>
          <w:sz w:val="26"/>
          <w:szCs w:val="26"/>
        </w:rPr>
      </w:pPr>
      <w:r>
        <w:rPr>
          <w:sz w:val="26"/>
          <w:szCs w:val="26"/>
        </w:rPr>
        <w:tab/>
      </w:r>
      <w:r w:rsidRPr="009253EE">
        <w:rPr>
          <w:sz w:val="26"/>
          <w:szCs w:val="26"/>
        </w:rPr>
        <w:t>Robert F. Powelson</w:t>
      </w:r>
    </w:p>
    <w:p w:rsidR="00D33578" w:rsidRDefault="00D33578" w:rsidP="00D33578">
      <w:pPr>
        <w:tabs>
          <w:tab w:val="left" w:pos="-720"/>
        </w:tabs>
        <w:suppressAutoHyphens/>
        <w:jc w:val="both"/>
        <w:rPr>
          <w:spacing w:val="-3"/>
          <w:sz w:val="26"/>
          <w:szCs w:val="26"/>
        </w:rPr>
      </w:pPr>
    </w:p>
    <w:p w:rsidR="00EC34CC" w:rsidRPr="00387868" w:rsidRDefault="00EC34CC" w:rsidP="00D33578">
      <w:pPr>
        <w:tabs>
          <w:tab w:val="left" w:pos="-720"/>
        </w:tabs>
        <w:suppressAutoHyphens/>
        <w:jc w:val="both"/>
        <w:rPr>
          <w:spacing w:val="-3"/>
          <w:sz w:val="26"/>
          <w:szCs w:val="26"/>
        </w:rPr>
      </w:pPr>
    </w:p>
    <w:p w:rsidR="00D33578" w:rsidRDefault="00D33578" w:rsidP="00D33578">
      <w:pPr>
        <w:rPr>
          <w:sz w:val="26"/>
          <w:szCs w:val="26"/>
        </w:rPr>
      </w:pPr>
      <w:r>
        <w:rPr>
          <w:sz w:val="26"/>
          <w:szCs w:val="26"/>
        </w:rPr>
        <w:t xml:space="preserve">Duquesne Light </w:t>
      </w:r>
      <w:r w:rsidR="00467287">
        <w:rPr>
          <w:sz w:val="26"/>
          <w:szCs w:val="26"/>
        </w:rPr>
        <w:t>Company P</w:t>
      </w:r>
      <w:r>
        <w:rPr>
          <w:sz w:val="26"/>
          <w:szCs w:val="26"/>
        </w:rPr>
        <w:t>lan for</w:t>
      </w:r>
      <w:r w:rsidR="00EC34CC">
        <w:rPr>
          <w:sz w:val="26"/>
          <w:szCs w:val="26"/>
        </w:rPr>
        <w:tab/>
      </w:r>
      <w:r>
        <w:rPr>
          <w:sz w:val="26"/>
          <w:szCs w:val="26"/>
        </w:rPr>
        <w:tab/>
      </w:r>
      <w:r>
        <w:rPr>
          <w:sz w:val="26"/>
          <w:szCs w:val="26"/>
        </w:rPr>
        <w:tab/>
      </w:r>
      <w:r>
        <w:rPr>
          <w:sz w:val="26"/>
          <w:szCs w:val="26"/>
        </w:rPr>
        <w:tab/>
      </w:r>
      <w:r w:rsidR="00EC34CC">
        <w:rPr>
          <w:sz w:val="26"/>
          <w:szCs w:val="26"/>
        </w:rPr>
        <w:t xml:space="preserve">          </w:t>
      </w:r>
      <w:r w:rsidR="00615F30">
        <w:rPr>
          <w:sz w:val="26"/>
          <w:szCs w:val="26"/>
        </w:rPr>
        <w:t xml:space="preserve">     </w:t>
      </w:r>
      <w:r>
        <w:rPr>
          <w:sz w:val="26"/>
          <w:szCs w:val="26"/>
        </w:rPr>
        <w:t>M-2014-</w:t>
      </w:r>
      <w:r w:rsidRPr="004B3587">
        <w:rPr>
          <w:sz w:val="26"/>
          <w:szCs w:val="26"/>
        </w:rPr>
        <w:t>2401127</w:t>
      </w:r>
    </w:p>
    <w:p w:rsidR="00D33578" w:rsidRDefault="00D33578" w:rsidP="00D33578">
      <w:pPr>
        <w:tabs>
          <w:tab w:val="left" w:pos="-720"/>
        </w:tabs>
        <w:suppressAutoHyphens/>
        <w:jc w:val="both"/>
        <w:rPr>
          <w:spacing w:val="-3"/>
          <w:sz w:val="26"/>
          <w:szCs w:val="26"/>
        </w:rPr>
      </w:pPr>
      <w:r>
        <w:rPr>
          <w:sz w:val="26"/>
          <w:szCs w:val="26"/>
        </w:rPr>
        <w:t>Seamless Moves and Instant Connects</w:t>
      </w:r>
    </w:p>
    <w:p w:rsidR="00D33578" w:rsidRPr="00387868" w:rsidRDefault="00D33578" w:rsidP="00D33578">
      <w:pPr>
        <w:tabs>
          <w:tab w:val="left" w:pos="-720"/>
        </w:tabs>
        <w:suppressAutoHyphens/>
        <w:jc w:val="both"/>
        <w:rPr>
          <w:spacing w:val="-3"/>
          <w:sz w:val="26"/>
          <w:szCs w:val="26"/>
        </w:rPr>
      </w:pP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D33578">
      <w:pPr>
        <w:tabs>
          <w:tab w:val="center" w:pos="4680"/>
        </w:tabs>
        <w:suppressAutoHyphens/>
        <w:spacing w:line="360" w:lineRule="auto"/>
        <w:jc w:val="center"/>
        <w:rPr>
          <w:b/>
          <w:bCs/>
          <w:spacing w:val="-3"/>
          <w:sz w:val="26"/>
          <w:szCs w:val="26"/>
        </w:rPr>
      </w:pPr>
      <w:r w:rsidRPr="00387868">
        <w:rPr>
          <w:b/>
          <w:bCs/>
          <w:spacing w:val="-3"/>
          <w:sz w:val="26"/>
          <w:szCs w:val="26"/>
        </w:rPr>
        <w:t>FINAL ORDER</w:t>
      </w:r>
    </w:p>
    <w:p w:rsidR="00DD6774" w:rsidRDefault="00DD6774"/>
    <w:p w:rsidR="00D33578" w:rsidRDefault="00D33578"/>
    <w:p w:rsidR="00E41EB8" w:rsidRDefault="00575D25" w:rsidP="00E41EB8">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w:t>
      </w:r>
      <w:r w:rsidR="00E41EB8">
        <w:rPr>
          <w:bCs/>
          <w:spacing w:val="-3"/>
          <w:sz w:val="26"/>
          <w:szCs w:val="26"/>
        </w:rPr>
        <w:t>is a</w:t>
      </w:r>
      <w:r w:rsidRPr="007620D2">
        <w:rPr>
          <w:bCs/>
          <w:spacing w:val="-3"/>
          <w:sz w:val="26"/>
          <w:szCs w:val="26"/>
        </w:rPr>
        <w:t xml:space="preserve"> recommendation from the Commission’s Office of Competitive Market Oversight</w:t>
      </w:r>
      <w:r>
        <w:rPr>
          <w:bCs/>
          <w:spacing w:val="-3"/>
          <w:sz w:val="26"/>
          <w:szCs w:val="26"/>
        </w:rPr>
        <w:t xml:space="preserve"> (OCMO) </w:t>
      </w:r>
      <w:r w:rsidR="00E41EB8">
        <w:rPr>
          <w:bCs/>
          <w:spacing w:val="-3"/>
          <w:sz w:val="26"/>
          <w:szCs w:val="26"/>
        </w:rPr>
        <w:t xml:space="preserve">approving Duquesne Light Company’s (Duquesne) plan for implementing </w:t>
      </w:r>
      <w:r w:rsidR="00E41EB8" w:rsidRPr="00E41EB8">
        <w:rPr>
          <w:bCs/>
          <w:i/>
          <w:spacing w:val="-3"/>
          <w:sz w:val="26"/>
          <w:szCs w:val="26"/>
        </w:rPr>
        <w:t>seamless moves</w:t>
      </w:r>
      <w:r w:rsidR="00E41EB8">
        <w:rPr>
          <w:bCs/>
          <w:spacing w:val="-3"/>
          <w:sz w:val="26"/>
          <w:szCs w:val="26"/>
        </w:rPr>
        <w:t xml:space="preserve"> and </w:t>
      </w:r>
      <w:r w:rsidR="00E41EB8" w:rsidRPr="00E41EB8">
        <w:rPr>
          <w:bCs/>
          <w:i/>
          <w:spacing w:val="-3"/>
          <w:sz w:val="26"/>
          <w:szCs w:val="26"/>
        </w:rPr>
        <w:t>instant connects</w:t>
      </w:r>
      <w:r w:rsidR="00E41EB8">
        <w:rPr>
          <w:bCs/>
          <w:spacing w:val="-3"/>
          <w:sz w:val="26"/>
          <w:szCs w:val="26"/>
        </w:rPr>
        <w:t xml:space="preserve"> in </w:t>
      </w:r>
      <w:r w:rsidR="00EB22DD">
        <w:rPr>
          <w:bCs/>
          <w:spacing w:val="-3"/>
          <w:sz w:val="26"/>
          <w:szCs w:val="26"/>
        </w:rPr>
        <w:t>its</w:t>
      </w:r>
      <w:r w:rsidR="008A039C">
        <w:rPr>
          <w:bCs/>
          <w:spacing w:val="-3"/>
          <w:sz w:val="26"/>
          <w:szCs w:val="26"/>
        </w:rPr>
        <w:t xml:space="preserve"> </w:t>
      </w:r>
      <w:r w:rsidR="00E41EB8">
        <w:rPr>
          <w:bCs/>
          <w:spacing w:val="-3"/>
          <w:sz w:val="26"/>
          <w:szCs w:val="26"/>
        </w:rPr>
        <w:t xml:space="preserve">service territory.  </w:t>
      </w:r>
      <w:r w:rsidR="00E41EB8" w:rsidRPr="00E41EB8">
        <w:rPr>
          <w:bCs/>
          <w:spacing w:val="-3"/>
          <w:sz w:val="26"/>
          <w:szCs w:val="26"/>
        </w:rPr>
        <w:t xml:space="preserve">A </w:t>
      </w:r>
      <w:r w:rsidR="00E41EB8" w:rsidRPr="00E41EB8">
        <w:rPr>
          <w:bCs/>
          <w:i/>
          <w:spacing w:val="-3"/>
          <w:sz w:val="26"/>
          <w:szCs w:val="26"/>
        </w:rPr>
        <w:t>seamless move</w:t>
      </w:r>
      <w:r w:rsidR="00E41EB8" w:rsidRPr="00E41EB8">
        <w:rPr>
          <w:bCs/>
          <w:spacing w:val="-3"/>
          <w:sz w:val="26"/>
          <w:szCs w:val="26"/>
        </w:rPr>
        <w:t xml:space="preserve"> is the ability of a customer</w:t>
      </w:r>
      <w:r w:rsidR="00606FDC">
        <w:rPr>
          <w:bCs/>
          <w:spacing w:val="-3"/>
          <w:sz w:val="26"/>
          <w:szCs w:val="26"/>
        </w:rPr>
        <w:t>’s</w:t>
      </w:r>
      <w:r w:rsidR="00E41EB8" w:rsidRPr="00E41EB8">
        <w:rPr>
          <w:bCs/>
          <w:spacing w:val="-3"/>
          <w:sz w:val="26"/>
          <w:szCs w:val="26"/>
        </w:rPr>
        <w:t xml:space="preserve"> choice of supplier to move with the customer to a new address </w:t>
      </w:r>
      <w:r w:rsidR="00F433C1">
        <w:rPr>
          <w:bCs/>
          <w:spacing w:val="-3"/>
          <w:sz w:val="26"/>
          <w:szCs w:val="26"/>
        </w:rPr>
        <w:t xml:space="preserve">within a single service territory </w:t>
      </w:r>
      <w:r w:rsidR="00E41EB8" w:rsidRPr="00E41EB8">
        <w:rPr>
          <w:bCs/>
          <w:spacing w:val="-3"/>
          <w:sz w:val="26"/>
          <w:szCs w:val="26"/>
        </w:rPr>
        <w:t xml:space="preserve">without interruption.  </w:t>
      </w:r>
      <w:r w:rsidR="00E41EB8" w:rsidRPr="00E41EB8">
        <w:rPr>
          <w:bCs/>
          <w:i/>
          <w:spacing w:val="-3"/>
          <w:sz w:val="26"/>
          <w:szCs w:val="26"/>
        </w:rPr>
        <w:t>Instant connect</w:t>
      </w:r>
      <w:r w:rsidR="00E41EB8" w:rsidRPr="00E41EB8">
        <w:rPr>
          <w:bCs/>
          <w:spacing w:val="-3"/>
          <w:sz w:val="26"/>
          <w:szCs w:val="26"/>
        </w:rPr>
        <w:t xml:space="preserve"> is the ability of supply service to start on “day one” of new utility service – without the customer first having to go on default service.  </w:t>
      </w:r>
    </w:p>
    <w:p w:rsidR="00D67328" w:rsidRPr="00E41EB8" w:rsidRDefault="00D67328" w:rsidP="00E41EB8">
      <w:pPr>
        <w:spacing w:line="360" w:lineRule="auto"/>
        <w:ind w:firstLine="720"/>
        <w:rPr>
          <w:bCs/>
          <w:spacing w:val="-3"/>
          <w:sz w:val="26"/>
          <w:szCs w:val="26"/>
        </w:rPr>
      </w:pPr>
    </w:p>
    <w:p w:rsidR="00575D25" w:rsidRPr="00387868" w:rsidRDefault="00575D25" w:rsidP="00E41EB8">
      <w:pPr>
        <w:spacing w:line="360" w:lineRule="auto"/>
        <w:ind w:firstLine="720"/>
        <w:rPr>
          <w:bCs/>
          <w:spacing w:val="-3"/>
          <w:sz w:val="26"/>
          <w:szCs w:val="26"/>
        </w:rPr>
      </w:pPr>
    </w:p>
    <w:p w:rsidR="00575D25" w:rsidRPr="00387868" w:rsidRDefault="00575D25" w:rsidP="00575D25">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lastRenderedPageBreak/>
        <w:t xml:space="preserve">BACKGROUND </w:t>
      </w:r>
      <w:bookmarkEnd w:id="0"/>
    </w:p>
    <w:p w:rsidR="00575D25" w:rsidRPr="00387868" w:rsidRDefault="00575D25" w:rsidP="00575D25">
      <w:pPr>
        <w:spacing w:line="360" w:lineRule="auto"/>
        <w:jc w:val="center"/>
        <w:rPr>
          <w:b/>
          <w:bCs/>
          <w:spacing w:val="-3"/>
          <w:sz w:val="26"/>
          <w:szCs w:val="26"/>
        </w:rPr>
      </w:pPr>
    </w:p>
    <w:p w:rsidR="00575D25" w:rsidRDefault="008560A4" w:rsidP="00575D25">
      <w:pPr>
        <w:spacing w:line="360" w:lineRule="auto"/>
        <w:ind w:firstLine="720"/>
        <w:rPr>
          <w:sz w:val="26"/>
          <w:szCs w:val="26"/>
        </w:rPr>
      </w:pPr>
      <w:r w:rsidRPr="008560A4">
        <w:rPr>
          <w:sz w:val="26"/>
          <w:szCs w:val="26"/>
        </w:rPr>
        <w:t>By order entered on April 29, 2011</w:t>
      </w:r>
      <w:r w:rsidR="00830380">
        <w:rPr>
          <w:sz w:val="26"/>
          <w:szCs w:val="26"/>
        </w:rPr>
        <w:t>,</w:t>
      </w:r>
      <w:r>
        <w:rPr>
          <w:rStyle w:val="FootnoteReference"/>
          <w:sz w:val="26"/>
          <w:szCs w:val="26"/>
        </w:rPr>
        <w:footnoteReference w:id="1"/>
      </w:r>
      <w:r w:rsidRPr="008560A4">
        <w:rPr>
          <w:sz w:val="26"/>
          <w:szCs w:val="26"/>
        </w:rPr>
        <w:t xml:space="preserve"> the Commission launched </w:t>
      </w:r>
      <w:r w:rsidR="00575D25" w:rsidRPr="009A4CF6">
        <w:rPr>
          <w:sz w:val="26"/>
          <w:szCs w:val="26"/>
        </w:rPr>
        <w:t xml:space="preserve">its </w:t>
      </w:r>
      <w:r w:rsidR="00575D25" w:rsidRPr="008560A4">
        <w:rPr>
          <w:i/>
          <w:sz w:val="26"/>
          <w:szCs w:val="26"/>
        </w:rPr>
        <w:t>Investigation of Pennsylvania’s Retail Electricity Market</w:t>
      </w:r>
      <w:r w:rsidR="00575D25">
        <w:rPr>
          <w:sz w:val="26"/>
          <w:szCs w:val="26"/>
        </w:rPr>
        <w:t xml:space="preserve"> (Electric RMI)</w:t>
      </w:r>
      <w:r w:rsidR="00575D25"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Pr>
          <w:sz w:val="26"/>
          <w:szCs w:val="26"/>
        </w:rPr>
        <w:t xml:space="preserve">  </w:t>
      </w:r>
      <w:r w:rsidR="00E41EB8" w:rsidRPr="00E41EB8">
        <w:rPr>
          <w:sz w:val="26"/>
          <w:szCs w:val="26"/>
        </w:rPr>
        <w:t xml:space="preserve">On February 15, 2013, the Commission entered its </w:t>
      </w:r>
      <w:r w:rsidR="00E41EB8">
        <w:rPr>
          <w:sz w:val="26"/>
          <w:szCs w:val="26"/>
        </w:rPr>
        <w:t xml:space="preserve">Electric RMI </w:t>
      </w:r>
      <w:r w:rsidR="00E41EB8" w:rsidRPr="00333E97">
        <w:rPr>
          <w:sz w:val="26"/>
          <w:szCs w:val="26"/>
        </w:rPr>
        <w:t>Final Order</w:t>
      </w:r>
      <w:r w:rsidR="00E41EB8" w:rsidRPr="00261313">
        <w:rPr>
          <w:rStyle w:val="FootnoteReference"/>
          <w:sz w:val="26"/>
          <w:szCs w:val="26"/>
        </w:rPr>
        <w:footnoteReference w:id="2"/>
      </w:r>
      <w:r w:rsidR="00F433C1" w:rsidRPr="00D54FAE">
        <w:rPr>
          <w:sz w:val="26"/>
          <w:szCs w:val="26"/>
        </w:rPr>
        <w:t xml:space="preserve"> (</w:t>
      </w:r>
      <w:r w:rsidR="00F433C1" w:rsidRPr="00D54FAE">
        <w:rPr>
          <w:i/>
          <w:sz w:val="26"/>
          <w:szCs w:val="26"/>
        </w:rPr>
        <w:t>RMI Final Order</w:t>
      </w:r>
      <w:r w:rsidR="00F433C1" w:rsidRPr="00D54FAE">
        <w:rPr>
          <w:sz w:val="26"/>
          <w:szCs w:val="26"/>
        </w:rPr>
        <w:t>)</w:t>
      </w:r>
      <w:r w:rsidR="00E41EB8" w:rsidRPr="00830380">
        <w:rPr>
          <w:sz w:val="26"/>
          <w:szCs w:val="26"/>
        </w:rPr>
        <w:t xml:space="preserve">.  </w:t>
      </w:r>
      <w:r w:rsidR="00E41EB8" w:rsidRPr="00E41EB8">
        <w:rPr>
          <w:sz w:val="26"/>
          <w:szCs w:val="26"/>
        </w:rPr>
        <w:t xml:space="preserve">As part of the </w:t>
      </w:r>
      <w:r w:rsidR="00E41EB8" w:rsidRPr="00E41EB8">
        <w:rPr>
          <w:i/>
          <w:sz w:val="26"/>
          <w:szCs w:val="26"/>
        </w:rPr>
        <w:t xml:space="preserve">RMI Final Order, </w:t>
      </w:r>
      <w:r w:rsidR="00E41EB8" w:rsidRPr="00E41EB8">
        <w:rPr>
          <w:sz w:val="26"/>
          <w:szCs w:val="26"/>
        </w:rPr>
        <w:t>the Commission instructed electric distribution companies (EDCs) to submit plans by the end of 2013</w:t>
      </w:r>
      <w:r w:rsidR="00E41EB8">
        <w:rPr>
          <w:sz w:val="26"/>
          <w:szCs w:val="26"/>
        </w:rPr>
        <w:t xml:space="preserve"> for </w:t>
      </w:r>
      <w:r w:rsidR="00E41EB8" w:rsidRPr="00E41EB8">
        <w:rPr>
          <w:sz w:val="26"/>
          <w:szCs w:val="26"/>
        </w:rPr>
        <w:t>the implementation of seamless moves and instant connects in their service territories by June 1, 2015.</w:t>
      </w:r>
      <w:r w:rsidR="00E41EB8">
        <w:rPr>
          <w:sz w:val="26"/>
          <w:szCs w:val="26"/>
        </w:rPr>
        <w:t xml:space="preserve">  </w:t>
      </w:r>
      <w:r w:rsidR="00E41EB8" w:rsidRPr="00E41EB8">
        <w:rPr>
          <w:sz w:val="26"/>
          <w:szCs w:val="26"/>
        </w:rPr>
        <w:t xml:space="preserve"> </w:t>
      </w:r>
    </w:p>
    <w:p w:rsidR="00E41EB8" w:rsidRDefault="00E41EB8" w:rsidP="00575D25">
      <w:pPr>
        <w:spacing w:line="360" w:lineRule="auto"/>
        <w:ind w:firstLine="720"/>
        <w:rPr>
          <w:sz w:val="26"/>
          <w:szCs w:val="26"/>
        </w:rPr>
      </w:pPr>
    </w:p>
    <w:p w:rsidR="00615F30" w:rsidRDefault="00E41EB8" w:rsidP="00E41EB8">
      <w:pPr>
        <w:spacing w:line="360" w:lineRule="auto"/>
        <w:ind w:firstLine="720"/>
        <w:rPr>
          <w:sz w:val="26"/>
          <w:szCs w:val="26"/>
        </w:rPr>
      </w:pPr>
      <w:r w:rsidRPr="00E41EB8">
        <w:rPr>
          <w:sz w:val="26"/>
          <w:szCs w:val="26"/>
        </w:rPr>
        <w:t xml:space="preserve">Pursuant to the Commission's </w:t>
      </w:r>
      <w:r w:rsidRPr="00E41EB8">
        <w:rPr>
          <w:i/>
          <w:sz w:val="26"/>
          <w:szCs w:val="26"/>
        </w:rPr>
        <w:t xml:space="preserve">RMI Final Order, </w:t>
      </w:r>
      <w:r w:rsidRPr="00E41EB8">
        <w:rPr>
          <w:sz w:val="26"/>
          <w:szCs w:val="26"/>
        </w:rPr>
        <w:t>Duquesne submitted a compliance filing on December 31, 2013</w:t>
      </w:r>
      <w:r w:rsidR="00F433C1">
        <w:rPr>
          <w:sz w:val="26"/>
          <w:szCs w:val="26"/>
        </w:rPr>
        <w:t>,</w:t>
      </w:r>
      <w:r w:rsidRPr="00E41EB8">
        <w:rPr>
          <w:sz w:val="26"/>
          <w:szCs w:val="26"/>
        </w:rPr>
        <w:t xml:space="preserve"> which detailed the Company's plan to implement seamless moves and instant connects in its service territory by June 1, 2015. </w:t>
      </w:r>
      <w:r w:rsidR="00615F30" w:rsidRPr="00615F30">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Pr>
          <w:sz w:val="26"/>
          <w:szCs w:val="26"/>
        </w:rPr>
        <w:t>three</w:t>
      </w:r>
      <w:r w:rsidR="00615F30" w:rsidRPr="00615F30">
        <w:rPr>
          <w:sz w:val="26"/>
          <w:szCs w:val="26"/>
        </w:rPr>
        <w:t>-business day supplier switching timeframes.</w:t>
      </w:r>
      <w:r w:rsidR="00615F30" w:rsidRPr="00615F30">
        <w:rPr>
          <w:sz w:val="26"/>
          <w:szCs w:val="26"/>
          <w:vertAlign w:val="superscript"/>
        </w:rPr>
        <w:footnoteReference w:id="3"/>
      </w:r>
      <w:r w:rsidR="00615F30" w:rsidRPr="00615F30">
        <w:rPr>
          <w:sz w:val="26"/>
          <w:szCs w:val="26"/>
        </w:rPr>
        <w:t xml:space="preserve">  Implementation of the </w:t>
      </w:r>
      <w:r w:rsidR="00830380">
        <w:rPr>
          <w:sz w:val="26"/>
          <w:szCs w:val="26"/>
        </w:rPr>
        <w:t>three</w:t>
      </w:r>
      <w:r w:rsidR="00615F30" w:rsidRPr="00615F30">
        <w:rPr>
          <w:sz w:val="26"/>
          <w:szCs w:val="26"/>
        </w:rPr>
        <w:t xml:space="preserve">-business day switch went into effect on December 14, 2014. </w:t>
      </w:r>
      <w:r w:rsidR="00EB22DD">
        <w:rPr>
          <w:sz w:val="26"/>
          <w:szCs w:val="26"/>
        </w:rPr>
        <w:t xml:space="preserve"> </w:t>
      </w:r>
      <w:r w:rsidR="00615F30" w:rsidRPr="00615F30">
        <w:rPr>
          <w:sz w:val="26"/>
          <w:szCs w:val="26"/>
        </w:rPr>
        <w:t xml:space="preserve">The Commission acknowledged that the implementation of </w:t>
      </w:r>
      <w:r w:rsidR="00830380">
        <w:rPr>
          <w:sz w:val="26"/>
          <w:szCs w:val="26"/>
        </w:rPr>
        <w:t>three</w:t>
      </w:r>
      <w:r w:rsidR="00615F30" w:rsidRPr="00615F30">
        <w:rPr>
          <w:sz w:val="26"/>
          <w:szCs w:val="26"/>
        </w:rPr>
        <w:t>-</w:t>
      </w:r>
      <w:r w:rsidR="00EB22DD">
        <w:rPr>
          <w:sz w:val="26"/>
          <w:szCs w:val="26"/>
        </w:rPr>
        <w:t xml:space="preserve">business </w:t>
      </w:r>
      <w:r w:rsidR="00615F30" w:rsidRPr="00615F30">
        <w:rPr>
          <w:sz w:val="26"/>
          <w:szCs w:val="26"/>
        </w:rPr>
        <w:t xml:space="preserve">day supplier switching required significant effort by the EDCs and that the timely development of </w:t>
      </w:r>
      <w:r w:rsidR="00830380">
        <w:rPr>
          <w:sz w:val="26"/>
          <w:szCs w:val="26"/>
        </w:rPr>
        <w:t>three</w:t>
      </w:r>
      <w:r w:rsidR="00615F30" w:rsidRPr="00615F30">
        <w:rPr>
          <w:sz w:val="26"/>
          <w:szCs w:val="26"/>
        </w:rPr>
        <w:t xml:space="preserve">-business day switching was a priority </w:t>
      </w:r>
      <w:r w:rsidR="00615F30" w:rsidRPr="001D0D4D">
        <w:rPr>
          <w:sz w:val="26"/>
          <w:szCs w:val="26"/>
        </w:rPr>
        <w:t>over instant connects</w:t>
      </w:r>
      <w:r w:rsidR="00615F30" w:rsidRPr="00615F30">
        <w:rPr>
          <w:sz w:val="26"/>
          <w:szCs w:val="26"/>
        </w:rPr>
        <w:t xml:space="preserve"> </w:t>
      </w:r>
      <w:r w:rsidR="00615F30" w:rsidRPr="00615F30">
        <w:rPr>
          <w:sz w:val="26"/>
          <w:szCs w:val="26"/>
        </w:rPr>
        <w:lastRenderedPageBreak/>
        <w:t xml:space="preserve">and </w:t>
      </w:r>
      <w:r w:rsidR="00615F30" w:rsidRPr="001D0D4D">
        <w:rPr>
          <w:sz w:val="26"/>
          <w:szCs w:val="26"/>
        </w:rPr>
        <w:t>seamless moves.  As such,</w:t>
      </w:r>
      <w:r w:rsidR="00615F30" w:rsidRPr="00615F30">
        <w:rPr>
          <w:sz w:val="26"/>
          <w:szCs w:val="26"/>
        </w:rPr>
        <w:t xml:space="preserve"> by means of an August 13, 2014 Secretarial Letter</w:t>
      </w:r>
      <w:r w:rsidR="00EB22DD">
        <w:rPr>
          <w:sz w:val="26"/>
          <w:szCs w:val="26"/>
        </w:rPr>
        <w:t>,</w:t>
      </w:r>
      <w:r w:rsidR="00615F30">
        <w:rPr>
          <w:rStyle w:val="FootnoteReference"/>
          <w:sz w:val="26"/>
          <w:szCs w:val="26"/>
        </w:rPr>
        <w:footnoteReference w:id="4"/>
      </w:r>
      <w:r w:rsidR="00615F30" w:rsidRPr="00615F30">
        <w:rPr>
          <w:sz w:val="26"/>
          <w:szCs w:val="26"/>
        </w:rPr>
        <w:t xml:space="preserve"> we permitted the EDCs to delay the </w:t>
      </w:r>
      <w:r w:rsidR="00615F30" w:rsidRPr="001D0D4D">
        <w:rPr>
          <w:sz w:val="26"/>
          <w:szCs w:val="26"/>
        </w:rPr>
        <w:t>development of instant connects and seamless moves</w:t>
      </w:r>
      <w:r w:rsidR="00615F30" w:rsidRPr="00615F30">
        <w:rPr>
          <w:sz w:val="26"/>
          <w:szCs w:val="26"/>
        </w:rPr>
        <w:t xml:space="preserve"> if an EDC determined that developing these processes could hinder or delay the development of </w:t>
      </w:r>
      <w:r w:rsidR="00165569">
        <w:rPr>
          <w:sz w:val="26"/>
          <w:szCs w:val="26"/>
        </w:rPr>
        <w:t>three</w:t>
      </w:r>
      <w:r w:rsidR="00615F30" w:rsidRPr="00615F30">
        <w:rPr>
          <w:sz w:val="26"/>
          <w:szCs w:val="26"/>
        </w:rPr>
        <w:t xml:space="preserve">-business day supplier switching.  </w:t>
      </w:r>
      <w:r w:rsidR="00615F30">
        <w:rPr>
          <w:sz w:val="26"/>
          <w:szCs w:val="26"/>
        </w:rPr>
        <w:t>In response</w:t>
      </w:r>
      <w:r w:rsidR="00165569">
        <w:rPr>
          <w:sz w:val="26"/>
          <w:szCs w:val="26"/>
        </w:rPr>
        <w:t>,</w:t>
      </w:r>
      <w:r w:rsidR="00615F30">
        <w:rPr>
          <w:sz w:val="26"/>
          <w:szCs w:val="26"/>
        </w:rPr>
        <w:t xml:space="preserve"> </w:t>
      </w:r>
      <w:r w:rsidRPr="00E41EB8">
        <w:rPr>
          <w:sz w:val="26"/>
          <w:szCs w:val="26"/>
        </w:rPr>
        <w:t>Duquesne</w:t>
      </w:r>
      <w:r w:rsidR="008A039C">
        <w:rPr>
          <w:sz w:val="26"/>
          <w:szCs w:val="26"/>
        </w:rPr>
        <w:t xml:space="preserve">, consistent with the directive in the Secretarial Letter, informally </w:t>
      </w:r>
      <w:r w:rsidRPr="00E41EB8">
        <w:rPr>
          <w:sz w:val="26"/>
          <w:szCs w:val="26"/>
        </w:rPr>
        <w:t>notified OCMO</w:t>
      </w:r>
      <w:r w:rsidR="00615F30">
        <w:rPr>
          <w:sz w:val="26"/>
          <w:szCs w:val="26"/>
        </w:rPr>
        <w:t xml:space="preserve"> </w:t>
      </w:r>
      <w:r w:rsidR="008A039C">
        <w:rPr>
          <w:sz w:val="26"/>
          <w:szCs w:val="26"/>
        </w:rPr>
        <w:t xml:space="preserve">by email </w:t>
      </w:r>
      <w:r w:rsidRPr="00E41EB8">
        <w:rPr>
          <w:sz w:val="26"/>
          <w:szCs w:val="26"/>
        </w:rPr>
        <w:t xml:space="preserve">that it was postponing the implementation of seamless moves and instant connects. </w:t>
      </w:r>
      <w:r w:rsidR="00615F30">
        <w:rPr>
          <w:sz w:val="26"/>
          <w:szCs w:val="26"/>
        </w:rPr>
        <w:t xml:space="preserve"> </w:t>
      </w:r>
    </w:p>
    <w:p w:rsidR="00615F30" w:rsidRDefault="00615F30" w:rsidP="00E41EB8">
      <w:pPr>
        <w:spacing w:line="360" w:lineRule="auto"/>
        <w:ind w:firstLine="720"/>
        <w:rPr>
          <w:sz w:val="26"/>
          <w:szCs w:val="26"/>
        </w:rPr>
      </w:pPr>
    </w:p>
    <w:p w:rsidR="00692030" w:rsidRDefault="00E41EB8" w:rsidP="00692030">
      <w:pPr>
        <w:spacing w:line="360" w:lineRule="auto"/>
        <w:ind w:firstLine="720"/>
        <w:rPr>
          <w:sz w:val="26"/>
          <w:szCs w:val="26"/>
        </w:rPr>
      </w:pPr>
      <w:r w:rsidRPr="00E41EB8">
        <w:rPr>
          <w:sz w:val="26"/>
          <w:szCs w:val="26"/>
        </w:rPr>
        <w:t>On March 20, 2015, the Commission issued a Secretarial</w:t>
      </w:r>
      <w:r w:rsidR="00692030">
        <w:rPr>
          <w:sz w:val="26"/>
          <w:szCs w:val="26"/>
        </w:rPr>
        <w:t xml:space="preserve"> </w:t>
      </w:r>
      <w:r w:rsidRPr="00E41EB8">
        <w:rPr>
          <w:sz w:val="26"/>
          <w:szCs w:val="26"/>
        </w:rPr>
        <w:t>Letter</w:t>
      </w:r>
      <w:r w:rsidR="00692030">
        <w:rPr>
          <w:rStyle w:val="FootnoteReference"/>
          <w:sz w:val="26"/>
          <w:szCs w:val="26"/>
        </w:rPr>
        <w:footnoteReference w:id="5"/>
      </w:r>
      <w:r w:rsidRPr="00E41EB8">
        <w:rPr>
          <w:sz w:val="26"/>
          <w:szCs w:val="26"/>
        </w:rPr>
        <w:t xml:space="preserve"> directing EDCs</w:t>
      </w:r>
      <w:r w:rsidR="00692030">
        <w:rPr>
          <w:sz w:val="26"/>
          <w:szCs w:val="26"/>
        </w:rPr>
        <w:t>, including Duquesne,</w:t>
      </w:r>
      <w:r w:rsidRPr="00E41EB8">
        <w:rPr>
          <w:sz w:val="26"/>
          <w:szCs w:val="26"/>
        </w:rPr>
        <w:t xml:space="preserve"> to file revised plan</w:t>
      </w:r>
      <w:r w:rsidR="00692030">
        <w:rPr>
          <w:sz w:val="26"/>
          <w:szCs w:val="26"/>
        </w:rPr>
        <w:t>s</w:t>
      </w:r>
      <w:r w:rsidRPr="00E41EB8">
        <w:rPr>
          <w:sz w:val="26"/>
          <w:szCs w:val="26"/>
        </w:rPr>
        <w:t xml:space="preserve"> to implement seamless moves and instant connects by July 1, 2016.</w:t>
      </w:r>
      <w:r w:rsidR="00692030">
        <w:rPr>
          <w:sz w:val="26"/>
          <w:szCs w:val="26"/>
        </w:rPr>
        <w:t xml:space="preserve">  EDCs, in their plans, were directed to</w:t>
      </w:r>
      <w:r w:rsidR="00692030" w:rsidRPr="00692030">
        <w:rPr>
          <w:sz w:val="26"/>
          <w:szCs w:val="26"/>
        </w:rPr>
        <w:t xml:space="preserve"> demonstrate how the</w:t>
      </w:r>
      <w:r w:rsidR="00A15E48">
        <w:rPr>
          <w:sz w:val="26"/>
          <w:szCs w:val="26"/>
        </w:rPr>
        <w:t>y</w:t>
      </w:r>
      <w:r w:rsidR="00692030" w:rsidRPr="00692030">
        <w:rPr>
          <w:sz w:val="26"/>
          <w:szCs w:val="26"/>
        </w:rPr>
        <w:t xml:space="preserve"> will achieve seamless moves and instant connects and the</w:t>
      </w:r>
      <w:r w:rsidR="00A15E48">
        <w:rPr>
          <w:sz w:val="26"/>
          <w:szCs w:val="26"/>
        </w:rPr>
        <w:t>ir</w:t>
      </w:r>
      <w:r w:rsidR="00692030" w:rsidRPr="00692030">
        <w:rPr>
          <w:sz w:val="26"/>
          <w:szCs w:val="26"/>
        </w:rPr>
        <w:t xml:space="preserve"> timeframes for implementation to meet </w:t>
      </w:r>
      <w:r w:rsidR="00692030">
        <w:rPr>
          <w:sz w:val="26"/>
          <w:szCs w:val="26"/>
        </w:rPr>
        <w:t>a</w:t>
      </w:r>
      <w:r w:rsidR="00692030" w:rsidRPr="00692030">
        <w:rPr>
          <w:sz w:val="26"/>
          <w:szCs w:val="26"/>
        </w:rPr>
        <w:t xml:space="preserve"> July 1, 2016 implementation deadline.  Each plan </w:t>
      </w:r>
      <w:r w:rsidR="00692030">
        <w:rPr>
          <w:sz w:val="26"/>
          <w:szCs w:val="26"/>
        </w:rPr>
        <w:t>was also expected to include a</w:t>
      </w:r>
      <w:r w:rsidR="00692030" w:rsidRPr="00692030">
        <w:rPr>
          <w:sz w:val="26"/>
          <w:szCs w:val="26"/>
        </w:rPr>
        <w:t>n estimate of the costs to design, test, implement and maintain seamless moves and instant connects, and proposals for the recovery of those costs.</w:t>
      </w:r>
      <w:r w:rsidR="00692030">
        <w:rPr>
          <w:sz w:val="26"/>
          <w:szCs w:val="26"/>
        </w:rPr>
        <w:t xml:space="preserve">  This Secretarial Letter also </w:t>
      </w:r>
      <w:r w:rsidR="00692030" w:rsidRPr="00692030">
        <w:rPr>
          <w:sz w:val="26"/>
          <w:szCs w:val="26"/>
        </w:rPr>
        <w:t>provid</w:t>
      </w:r>
      <w:r w:rsidR="00692030">
        <w:rPr>
          <w:sz w:val="26"/>
          <w:szCs w:val="26"/>
        </w:rPr>
        <w:t>ed</w:t>
      </w:r>
      <w:r w:rsidR="00692030" w:rsidRPr="00692030">
        <w:rPr>
          <w:sz w:val="26"/>
          <w:szCs w:val="26"/>
        </w:rPr>
        <w:t xml:space="preserve"> a 30-day comment period </w:t>
      </w:r>
      <w:r w:rsidR="00F433C1">
        <w:rPr>
          <w:sz w:val="26"/>
          <w:szCs w:val="26"/>
        </w:rPr>
        <w:t>for responses to</w:t>
      </w:r>
      <w:r w:rsidR="00692030" w:rsidRPr="00692030">
        <w:rPr>
          <w:sz w:val="26"/>
          <w:szCs w:val="26"/>
        </w:rPr>
        <w:t xml:space="preserve"> the </w:t>
      </w:r>
      <w:r w:rsidR="00F721F3">
        <w:rPr>
          <w:sz w:val="26"/>
          <w:szCs w:val="26"/>
        </w:rPr>
        <w:t xml:space="preserve">filed </w:t>
      </w:r>
      <w:r w:rsidR="00692030" w:rsidRPr="00692030">
        <w:rPr>
          <w:sz w:val="26"/>
          <w:szCs w:val="26"/>
        </w:rPr>
        <w:t>plans.  The Commission then</w:t>
      </w:r>
      <w:r w:rsidR="00692030">
        <w:rPr>
          <w:sz w:val="26"/>
          <w:szCs w:val="26"/>
        </w:rPr>
        <w:t xml:space="preserve"> committed to</w:t>
      </w:r>
      <w:r w:rsidR="00692030" w:rsidRPr="00692030">
        <w:rPr>
          <w:sz w:val="26"/>
          <w:szCs w:val="26"/>
        </w:rPr>
        <w:t xml:space="preserve"> review the</w:t>
      </w:r>
      <w:r w:rsidR="00692030">
        <w:rPr>
          <w:sz w:val="26"/>
          <w:szCs w:val="26"/>
        </w:rPr>
        <w:t xml:space="preserve"> plans and</w:t>
      </w:r>
      <w:r w:rsidR="00692030" w:rsidRPr="00692030">
        <w:rPr>
          <w:sz w:val="26"/>
          <w:szCs w:val="26"/>
        </w:rPr>
        <w:t xml:space="preserve"> comments and determine appropriate further actions with regard to the filed plans. </w:t>
      </w:r>
    </w:p>
    <w:p w:rsidR="00692030" w:rsidRDefault="00692030" w:rsidP="00692030">
      <w:pPr>
        <w:spacing w:line="360" w:lineRule="auto"/>
        <w:ind w:firstLine="720"/>
        <w:rPr>
          <w:sz w:val="26"/>
          <w:szCs w:val="26"/>
        </w:rPr>
      </w:pPr>
    </w:p>
    <w:p w:rsidR="00692030" w:rsidRDefault="00692030" w:rsidP="00E41EB8">
      <w:pPr>
        <w:spacing w:line="360" w:lineRule="auto"/>
        <w:ind w:firstLine="720"/>
        <w:rPr>
          <w:sz w:val="26"/>
          <w:szCs w:val="26"/>
        </w:rPr>
      </w:pPr>
      <w:r>
        <w:rPr>
          <w:sz w:val="26"/>
          <w:szCs w:val="26"/>
        </w:rPr>
        <w:t xml:space="preserve">On April 20, 2015, </w:t>
      </w:r>
      <w:r w:rsidR="00E41EB8" w:rsidRPr="00E41EB8">
        <w:rPr>
          <w:sz w:val="26"/>
          <w:szCs w:val="26"/>
        </w:rPr>
        <w:t xml:space="preserve">Duquesne </w:t>
      </w:r>
      <w:r>
        <w:rPr>
          <w:sz w:val="26"/>
          <w:szCs w:val="26"/>
        </w:rPr>
        <w:t>filed</w:t>
      </w:r>
      <w:r w:rsidR="00A15E48">
        <w:rPr>
          <w:sz w:val="26"/>
          <w:szCs w:val="26"/>
        </w:rPr>
        <w:t>, at this docket,</w:t>
      </w:r>
      <w:r>
        <w:rPr>
          <w:sz w:val="26"/>
          <w:szCs w:val="26"/>
        </w:rPr>
        <w:t xml:space="preserve"> a </w:t>
      </w:r>
      <w:r w:rsidR="00E41EB8" w:rsidRPr="00E41EB8">
        <w:rPr>
          <w:sz w:val="26"/>
          <w:szCs w:val="26"/>
        </w:rPr>
        <w:t>revised plan to implement seamless moves and</w:t>
      </w:r>
      <w:r>
        <w:rPr>
          <w:sz w:val="26"/>
          <w:szCs w:val="26"/>
        </w:rPr>
        <w:t xml:space="preserve"> </w:t>
      </w:r>
      <w:r w:rsidR="00E41EB8" w:rsidRPr="00E41EB8">
        <w:rPr>
          <w:sz w:val="26"/>
          <w:szCs w:val="26"/>
        </w:rPr>
        <w:t xml:space="preserve">instant connects by July 1, 2016. </w:t>
      </w:r>
    </w:p>
    <w:p w:rsidR="00692030" w:rsidRDefault="00692030" w:rsidP="00E41EB8">
      <w:pPr>
        <w:spacing w:line="360" w:lineRule="auto"/>
        <w:ind w:firstLine="720"/>
        <w:rPr>
          <w:sz w:val="26"/>
          <w:szCs w:val="26"/>
        </w:rPr>
      </w:pPr>
    </w:p>
    <w:p w:rsidR="00692030" w:rsidRPr="00692030" w:rsidRDefault="004551AD" w:rsidP="004551AD">
      <w:pPr>
        <w:spacing w:line="360" w:lineRule="auto"/>
        <w:jc w:val="center"/>
        <w:rPr>
          <w:b/>
          <w:sz w:val="26"/>
          <w:szCs w:val="26"/>
        </w:rPr>
      </w:pPr>
      <w:r>
        <w:rPr>
          <w:b/>
          <w:sz w:val="26"/>
          <w:szCs w:val="26"/>
        </w:rPr>
        <w:t>DUQUESNE’S PLAN</w:t>
      </w:r>
    </w:p>
    <w:p w:rsidR="00692030" w:rsidRDefault="00692030" w:rsidP="00E41EB8">
      <w:pPr>
        <w:spacing w:line="360" w:lineRule="auto"/>
        <w:ind w:firstLine="720"/>
        <w:rPr>
          <w:sz w:val="26"/>
          <w:szCs w:val="26"/>
        </w:rPr>
      </w:pPr>
    </w:p>
    <w:p w:rsidR="00E41EB8" w:rsidRDefault="0035775C" w:rsidP="004A39E1">
      <w:pPr>
        <w:spacing w:line="360" w:lineRule="auto"/>
        <w:ind w:firstLine="720"/>
        <w:rPr>
          <w:sz w:val="26"/>
          <w:szCs w:val="26"/>
        </w:rPr>
      </w:pPr>
      <w:r>
        <w:rPr>
          <w:sz w:val="26"/>
          <w:szCs w:val="26"/>
        </w:rPr>
        <w:t xml:space="preserve">Duquesne’s plan </w:t>
      </w:r>
      <w:r w:rsidR="00E41EB8" w:rsidRPr="00E41EB8">
        <w:rPr>
          <w:sz w:val="26"/>
          <w:szCs w:val="26"/>
        </w:rPr>
        <w:t xml:space="preserve">includes </w:t>
      </w:r>
      <w:r>
        <w:rPr>
          <w:sz w:val="26"/>
          <w:szCs w:val="26"/>
        </w:rPr>
        <w:t>a w</w:t>
      </w:r>
      <w:r w:rsidR="00E41EB8" w:rsidRPr="00E41EB8">
        <w:rPr>
          <w:sz w:val="26"/>
          <w:szCs w:val="26"/>
        </w:rPr>
        <w:t xml:space="preserve">ork </w:t>
      </w:r>
      <w:r>
        <w:rPr>
          <w:sz w:val="26"/>
          <w:szCs w:val="26"/>
        </w:rPr>
        <w:t>p</w:t>
      </w:r>
      <w:r w:rsidR="00E41EB8" w:rsidRPr="00E41EB8">
        <w:rPr>
          <w:sz w:val="26"/>
          <w:szCs w:val="26"/>
        </w:rPr>
        <w:t xml:space="preserve">lan and </w:t>
      </w:r>
      <w:r>
        <w:rPr>
          <w:sz w:val="26"/>
          <w:szCs w:val="26"/>
        </w:rPr>
        <w:t>t</w:t>
      </w:r>
      <w:r w:rsidR="00E41EB8" w:rsidRPr="00E41EB8">
        <w:rPr>
          <w:sz w:val="26"/>
          <w:szCs w:val="26"/>
        </w:rPr>
        <w:t>imeline that sets forth key project milestones and includes an estimated timeframe for</w:t>
      </w:r>
      <w:r>
        <w:rPr>
          <w:sz w:val="26"/>
          <w:szCs w:val="26"/>
        </w:rPr>
        <w:t xml:space="preserve"> </w:t>
      </w:r>
      <w:r w:rsidR="00E41EB8" w:rsidRPr="00E41EB8">
        <w:rPr>
          <w:sz w:val="26"/>
          <w:szCs w:val="26"/>
        </w:rPr>
        <w:t>completing each milestone</w:t>
      </w:r>
      <w:r>
        <w:rPr>
          <w:sz w:val="26"/>
          <w:szCs w:val="26"/>
        </w:rPr>
        <w:t xml:space="preserve"> – while </w:t>
      </w:r>
      <w:r>
        <w:rPr>
          <w:sz w:val="26"/>
          <w:szCs w:val="26"/>
        </w:rPr>
        <w:lastRenderedPageBreak/>
        <w:t xml:space="preserve">noting that timelines might have to be revised if there is any delay in the Commission approving their plan or if it is approved with </w:t>
      </w:r>
      <w:r w:rsidR="00E41EB8" w:rsidRPr="00E41EB8">
        <w:rPr>
          <w:sz w:val="26"/>
          <w:szCs w:val="26"/>
        </w:rPr>
        <w:t xml:space="preserve">significant </w:t>
      </w:r>
      <w:r>
        <w:rPr>
          <w:sz w:val="26"/>
          <w:szCs w:val="26"/>
        </w:rPr>
        <w:t>modifications.  Duquesne notes that it h</w:t>
      </w:r>
      <w:r w:rsidR="00E41EB8" w:rsidRPr="00E41EB8">
        <w:rPr>
          <w:sz w:val="26"/>
          <w:szCs w:val="26"/>
        </w:rPr>
        <w:t>as a number of regulatory initiatives that it is implementing over the next two years</w:t>
      </w:r>
      <w:r w:rsidR="004A39E1">
        <w:rPr>
          <w:sz w:val="26"/>
          <w:szCs w:val="26"/>
        </w:rPr>
        <w:t xml:space="preserve"> that could also impact imp</w:t>
      </w:r>
      <w:r w:rsidR="00E41EB8" w:rsidRPr="00E41EB8">
        <w:rPr>
          <w:sz w:val="26"/>
          <w:szCs w:val="26"/>
        </w:rPr>
        <w:t>lementation</w:t>
      </w:r>
      <w:r w:rsidR="004A39E1">
        <w:rPr>
          <w:sz w:val="26"/>
          <w:szCs w:val="26"/>
        </w:rPr>
        <w:t xml:space="preserve"> timeframes.  </w:t>
      </w:r>
      <w:r w:rsidR="002A0C3B">
        <w:rPr>
          <w:sz w:val="26"/>
          <w:szCs w:val="26"/>
        </w:rPr>
        <w:t xml:space="preserve">Duquesne also included, in a confidential section, estimated costs for implementing and maintaining seamless moves and instant connects capability.   </w:t>
      </w:r>
      <w:r w:rsidR="00E41EB8" w:rsidRPr="00E41EB8">
        <w:rPr>
          <w:sz w:val="26"/>
          <w:szCs w:val="26"/>
        </w:rPr>
        <w:t xml:space="preserve"> </w:t>
      </w:r>
    </w:p>
    <w:p w:rsidR="00852E36" w:rsidRDefault="00852E36" w:rsidP="004A39E1">
      <w:pPr>
        <w:spacing w:line="360" w:lineRule="auto"/>
        <w:ind w:firstLine="720"/>
        <w:rPr>
          <w:sz w:val="26"/>
          <w:szCs w:val="26"/>
        </w:rPr>
      </w:pPr>
    </w:p>
    <w:p w:rsidR="00852E36" w:rsidRPr="00852E36" w:rsidRDefault="00852E36" w:rsidP="00852E36">
      <w:pPr>
        <w:spacing w:line="360" w:lineRule="auto"/>
        <w:rPr>
          <w:b/>
          <w:sz w:val="26"/>
          <w:szCs w:val="26"/>
        </w:rPr>
      </w:pPr>
      <w:r w:rsidRPr="00852E36">
        <w:rPr>
          <w:b/>
          <w:sz w:val="26"/>
          <w:szCs w:val="26"/>
        </w:rPr>
        <w:t>Seamless Moves</w:t>
      </w:r>
    </w:p>
    <w:p w:rsidR="00E41EB8" w:rsidRDefault="00E41EB8" w:rsidP="00575D25">
      <w:pPr>
        <w:spacing w:line="360" w:lineRule="auto"/>
        <w:ind w:firstLine="720"/>
        <w:rPr>
          <w:sz w:val="26"/>
          <w:szCs w:val="26"/>
        </w:rPr>
      </w:pPr>
    </w:p>
    <w:p w:rsidR="00B409FF" w:rsidRDefault="00A15E48" w:rsidP="00B409FF">
      <w:pPr>
        <w:spacing w:line="360" w:lineRule="auto"/>
        <w:ind w:firstLine="720"/>
        <w:rPr>
          <w:sz w:val="26"/>
          <w:szCs w:val="26"/>
        </w:rPr>
      </w:pPr>
      <w:r>
        <w:rPr>
          <w:sz w:val="26"/>
          <w:szCs w:val="26"/>
        </w:rPr>
        <w:t>F</w:t>
      </w:r>
      <w:r w:rsidR="002A0C3B">
        <w:rPr>
          <w:sz w:val="26"/>
          <w:szCs w:val="26"/>
        </w:rPr>
        <w:t>or</w:t>
      </w:r>
      <w:r w:rsidR="002A0C3B" w:rsidRPr="002A0C3B">
        <w:rPr>
          <w:sz w:val="26"/>
          <w:szCs w:val="26"/>
        </w:rPr>
        <w:t xml:space="preserve"> seamless move</w:t>
      </w:r>
      <w:r w:rsidR="002A0C3B">
        <w:rPr>
          <w:sz w:val="26"/>
          <w:szCs w:val="26"/>
        </w:rPr>
        <w:t xml:space="preserve">s, </w:t>
      </w:r>
      <w:r w:rsidR="002A0C3B" w:rsidRPr="002A0C3B">
        <w:rPr>
          <w:sz w:val="26"/>
          <w:szCs w:val="26"/>
        </w:rPr>
        <w:t xml:space="preserve">Duquesne proposes to allow eligible shopping customers to retain their current </w:t>
      </w:r>
      <w:r w:rsidR="003E537F">
        <w:rPr>
          <w:sz w:val="26"/>
          <w:szCs w:val="26"/>
        </w:rPr>
        <w:t>electric generation supplier (</w:t>
      </w:r>
      <w:r w:rsidR="002A0C3B" w:rsidRPr="002A0C3B">
        <w:rPr>
          <w:sz w:val="26"/>
          <w:szCs w:val="26"/>
        </w:rPr>
        <w:t>EGS</w:t>
      </w:r>
      <w:r w:rsidR="003E537F">
        <w:rPr>
          <w:sz w:val="26"/>
          <w:szCs w:val="26"/>
        </w:rPr>
        <w:t>)</w:t>
      </w:r>
      <w:r w:rsidR="002A0C3B" w:rsidRPr="002A0C3B">
        <w:rPr>
          <w:sz w:val="26"/>
          <w:szCs w:val="26"/>
        </w:rPr>
        <w:t xml:space="preserve"> when moving within Duquesne</w:t>
      </w:r>
      <w:r w:rsidR="002A0C3B">
        <w:rPr>
          <w:sz w:val="26"/>
          <w:szCs w:val="26"/>
        </w:rPr>
        <w:t xml:space="preserve">’s </w:t>
      </w:r>
      <w:r w:rsidR="002A0C3B" w:rsidRPr="002A0C3B">
        <w:rPr>
          <w:sz w:val="26"/>
          <w:szCs w:val="26"/>
        </w:rPr>
        <w:t xml:space="preserve">service territory. </w:t>
      </w:r>
      <w:r w:rsidR="001D0D4D">
        <w:rPr>
          <w:sz w:val="26"/>
          <w:szCs w:val="26"/>
        </w:rPr>
        <w:t xml:space="preserve"> </w:t>
      </w:r>
      <w:r w:rsidR="002A0C3B" w:rsidRPr="002A0C3B">
        <w:rPr>
          <w:sz w:val="26"/>
          <w:szCs w:val="26"/>
        </w:rPr>
        <w:t>The customer will not be switched to default service when moving to a new location provided that the rules and conditions set forth below are met</w:t>
      </w:r>
      <w:r w:rsidR="002A0C3B">
        <w:rPr>
          <w:sz w:val="26"/>
          <w:szCs w:val="26"/>
        </w:rPr>
        <w:t xml:space="preserve">:  </w:t>
      </w:r>
      <w:r w:rsidR="00852E36">
        <w:rPr>
          <w:sz w:val="26"/>
          <w:szCs w:val="26"/>
        </w:rPr>
        <w:br/>
      </w:r>
    </w:p>
    <w:p w:rsidR="00B409FF" w:rsidRDefault="00B409FF" w:rsidP="00AA3553">
      <w:pPr>
        <w:spacing w:line="276" w:lineRule="auto"/>
        <w:ind w:left="720"/>
        <w:rPr>
          <w:sz w:val="26"/>
          <w:szCs w:val="26"/>
        </w:rPr>
      </w:pPr>
      <w:r>
        <w:rPr>
          <w:sz w:val="26"/>
          <w:szCs w:val="26"/>
        </w:rPr>
        <w:t xml:space="preserve">- </w:t>
      </w:r>
      <w:r w:rsidR="002A0C3B" w:rsidRPr="00B409FF">
        <w:rPr>
          <w:sz w:val="26"/>
          <w:szCs w:val="26"/>
        </w:rPr>
        <w:t>Seamless moves will be available to all residential customers as well as commercial and industrial customers that use less than 300 kW of demand as defined in the Tariff</w:t>
      </w:r>
      <w:r w:rsidRPr="00B409FF">
        <w:rPr>
          <w:sz w:val="26"/>
          <w:szCs w:val="26"/>
        </w:rPr>
        <w:t xml:space="preserve">.   </w:t>
      </w:r>
      <w:r w:rsidR="002A0C3B" w:rsidRPr="00B409FF">
        <w:rPr>
          <w:sz w:val="26"/>
          <w:szCs w:val="26"/>
        </w:rPr>
        <w:t xml:space="preserve"> </w:t>
      </w:r>
    </w:p>
    <w:p w:rsidR="00AA3553" w:rsidRDefault="00AA3553" w:rsidP="00AA3553">
      <w:pPr>
        <w:spacing w:line="276" w:lineRule="auto"/>
        <w:ind w:left="720"/>
        <w:rPr>
          <w:sz w:val="26"/>
          <w:szCs w:val="26"/>
        </w:rPr>
      </w:pPr>
    </w:p>
    <w:p w:rsidR="00B409FF" w:rsidRDefault="00B409FF" w:rsidP="00AA3553">
      <w:pPr>
        <w:spacing w:line="276" w:lineRule="auto"/>
        <w:ind w:left="720"/>
        <w:rPr>
          <w:sz w:val="26"/>
          <w:szCs w:val="26"/>
        </w:rPr>
      </w:pPr>
      <w:r>
        <w:rPr>
          <w:sz w:val="26"/>
          <w:szCs w:val="26"/>
        </w:rPr>
        <w:t xml:space="preserve">- The </w:t>
      </w:r>
      <w:r w:rsidR="002A0C3B" w:rsidRPr="002A0C3B">
        <w:rPr>
          <w:sz w:val="26"/>
          <w:szCs w:val="26"/>
        </w:rPr>
        <w:t>customer's new location must be in the same rate class (</w:t>
      </w:r>
      <w:r w:rsidR="002A0C3B" w:rsidRPr="00D54FAE">
        <w:rPr>
          <w:i/>
          <w:sz w:val="26"/>
          <w:szCs w:val="26"/>
        </w:rPr>
        <w:t>i.e.,</w:t>
      </w:r>
      <w:r w:rsidR="002A0C3B" w:rsidRPr="002A0C3B">
        <w:rPr>
          <w:sz w:val="26"/>
          <w:szCs w:val="26"/>
        </w:rPr>
        <w:t xml:space="preserve"> R</w:t>
      </w:r>
      <w:r w:rsidR="00A15E48">
        <w:rPr>
          <w:sz w:val="26"/>
          <w:szCs w:val="26"/>
        </w:rPr>
        <w:t xml:space="preserve">esidential </w:t>
      </w:r>
      <w:r w:rsidR="002A0C3B" w:rsidRPr="002A0C3B">
        <w:rPr>
          <w:sz w:val="26"/>
          <w:szCs w:val="26"/>
        </w:rPr>
        <w:t>S</w:t>
      </w:r>
      <w:r w:rsidR="00A15E48">
        <w:rPr>
          <w:sz w:val="26"/>
          <w:szCs w:val="26"/>
        </w:rPr>
        <w:t>ervice (RS)</w:t>
      </w:r>
      <w:r w:rsidR="002A0C3B" w:rsidRPr="002A0C3B">
        <w:rPr>
          <w:sz w:val="26"/>
          <w:szCs w:val="26"/>
        </w:rPr>
        <w:t>, R</w:t>
      </w:r>
      <w:r w:rsidR="00A15E48">
        <w:rPr>
          <w:sz w:val="26"/>
          <w:szCs w:val="26"/>
        </w:rPr>
        <w:t xml:space="preserve">esidential Service </w:t>
      </w:r>
      <w:r w:rsidR="002A0C3B" w:rsidRPr="002A0C3B">
        <w:rPr>
          <w:sz w:val="26"/>
          <w:szCs w:val="26"/>
        </w:rPr>
        <w:t>H</w:t>
      </w:r>
      <w:r w:rsidR="00A15E48">
        <w:rPr>
          <w:sz w:val="26"/>
          <w:szCs w:val="26"/>
        </w:rPr>
        <w:t>eating (RH)</w:t>
      </w:r>
      <w:r w:rsidR="002A0C3B" w:rsidRPr="002A0C3B">
        <w:rPr>
          <w:sz w:val="26"/>
          <w:szCs w:val="26"/>
        </w:rPr>
        <w:t xml:space="preserve"> or R</w:t>
      </w:r>
      <w:r w:rsidR="00A15E48">
        <w:rPr>
          <w:sz w:val="26"/>
          <w:szCs w:val="26"/>
        </w:rPr>
        <w:t xml:space="preserve">esidential Service </w:t>
      </w:r>
      <w:r w:rsidR="002A0C3B" w:rsidRPr="002A0C3B">
        <w:rPr>
          <w:sz w:val="26"/>
          <w:szCs w:val="26"/>
        </w:rPr>
        <w:t>A</w:t>
      </w:r>
      <w:r w:rsidR="00A15E48">
        <w:rPr>
          <w:sz w:val="26"/>
          <w:szCs w:val="26"/>
        </w:rPr>
        <w:t>dd-on Heat Pump (RA)</w:t>
      </w:r>
      <w:r w:rsidR="002A0C3B" w:rsidRPr="002A0C3B">
        <w:rPr>
          <w:sz w:val="26"/>
          <w:szCs w:val="26"/>
        </w:rPr>
        <w:t xml:space="preserve">) as the prior location, and the customer must maintain the same supplier billing rate, billing option and tax exemption percentage. </w:t>
      </w:r>
    </w:p>
    <w:p w:rsidR="00AA3553" w:rsidRDefault="00AA3553" w:rsidP="00AA3553">
      <w:pPr>
        <w:spacing w:line="276" w:lineRule="auto"/>
        <w:ind w:left="720"/>
        <w:rPr>
          <w:sz w:val="26"/>
          <w:szCs w:val="26"/>
        </w:rPr>
      </w:pPr>
    </w:p>
    <w:p w:rsidR="00B409FF" w:rsidRDefault="00B409FF" w:rsidP="00AA3553">
      <w:pPr>
        <w:spacing w:line="276" w:lineRule="auto"/>
        <w:ind w:left="720"/>
        <w:rPr>
          <w:sz w:val="26"/>
          <w:szCs w:val="26"/>
        </w:rPr>
      </w:pPr>
      <w:r w:rsidRPr="003E537F">
        <w:rPr>
          <w:sz w:val="26"/>
          <w:szCs w:val="26"/>
        </w:rPr>
        <w:t xml:space="preserve">- </w:t>
      </w:r>
      <w:r w:rsidR="002A0C3B" w:rsidRPr="003E537F">
        <w:rPr>
          <w:sz w:val="26"/>
          <w:szCs w:val="26"/>
        </w:rPr>
        <w:t xml:space="preserve">The EGS must submit a drop request via </w:t>
      </w:r>
      <w:r w:rsidR="003E537F" w:rsidRPr="003E537F">
        <w:rPr>
          <w:sz w:val="26"/>
          <w:szCs w:val="26"/>
        </w:rPr>
        <w:t>electronic data interchange (</w:t>
      </w:r>
      <w:r w:rsidR="002A0C3B" w:rsidRPr="003E537F">
        <w:rPr>
          <w:sz w:val="26"/>
          <w:szCs w:val="26"/>
        </w:rPr>
        <w:t>EDI</w:t>
      </w:r>
      <w:r w:rsidR="003E537F" w:rsidRPr="003E537F">
        <w:rPr>
          <w:sz w:val="26"/>
          <w:szCs w:val="26"/>
        </w:rPr>
        <w:t>)</w:t>
      </w:r>
      <w:r w:rsidR="002A0C3B" w:rsidRPr="003E537F">
        <w:rPr>
          <w:sz w:val="26"/>
          <w:szCs w:val="26"/>
        </w:rPr>
        <w:t xml:space="preserve"> if it does not wish to continue service to the customer at the new service location. </w:t>
      </w:r>
      <w:r w:rsidR="001D26F7" w:rsidRPr="003E537F">
        <w:rPr>
          <w:sz w:val="26"/>
          <w:szCs w:val="26"/>
        </w:rPr>
        <w:t xml:space="preserve"> </w:t>
      </w:r>
      <w:r w:rsidR="002A0C3B" w:rsidRPr="003E537F">
        <w:rPr>
          <w:sz w:val="26"/>
          <w:szCs w:val="26"/>
        </w:rPr>
        <w:t xml:space="preserve">However, the EGS will still have to maintain supply service to this customer until a </w:t>
      </w:r>
      <w:r w:rsidR="002273AB">
        <w:rPr>
          <w:sz w:val="26"/>
          <w:szCs w:val="26"/>
        </w:rPr>
        <w:t>three</w:t>
      </w:r>
      <w:r w:rsidR="002A0C3B" w:rsidRPr="003E537F">
        <w:rPr>
          <w:sz w:val="26"/>
          <w:szCs w:val="26"/>
        </w:rPr>
        <w:t>-business day switch can occur at the new</w:t>
      </w:r>
      <w:r w:rsidRPr="003E537F">
        <w:rPr>
          <w:sz w:val="26"/>
          <w:szCs w:val="26"/>
        </w:rPr>
        <w:t xml:space="preserve"> address.</w:t>
      </w:r>
      <w:r>
        <w:rPr>
          <w:sz w:val="26"/>
          <w:szCs w:val="26"/>
        </w:rPr>
        <w:t xml:space="preserve"> </w:t>
      </w:r>
    </w:p>
    <w:p w:rsidR="00AA3553" w:rsidRDefault="00AA3553" w:rsidP="00AA3553">
      <w:pPr>
        <w:spacing w:line="276" w:lineRule="auto"/>
        <w:ind w:left="720"/>
        <w:rPr>
          <w:sz w:val="26"/>
          <w:szCs w:val="26"/>
        </w:rPr>
      </w:pPr>
    </w:p>
    <w:p w:rsidR="002A0C3B" w:rsidRDefault="00B409FF" w:rsidP="00AA3553">
      <w:pPr>
        <w:spacing w:line="276" w:lineRule="auto"/>
        <w:ind w:left="720"/>
        <w:rPr>
          <w:sz w:val="26"/>
          <w:szCs w:val="26"/>
        </w:rPr>
      </w:pPr>
      <w:r>
        <w:rPr>
          <w:sz w:val="26"/>
          <w:szCs w:val="26"/>
        </w:rPr>
        <w:t xml:space="preserve">- </w:t>
      </w:r>
      <w:r w:rsidR="002A0C3B" w:rsidRPr="002A0C3B">
        <w:rPr>
          <w:sz w:val="26"/>
          <w:szCs w:val="26"/>
        </w:rPr>
        <w:t xml:space="preserve">Large commercial and industrial customers will not </w:t>
      </w:r>
      <w:r>
        <w:rPr>
          <w:sz w:val="26"/>
          <w:szCs w:val="26"/>
        </w:rPr>
        <w:t>b</w:t>
      </w:r>
      <w:r w:rsidR="002A0C3B" w:rsidRPr="002A0C3B">
        <w:rPr>
          <w:sz w:val="26"/>
          <w:szCs w:val="26"/>
        </w:rPr>
        <w:t>e included for seamless moves based on the potential problems that may arise due to PJM</w:t>
      </w:r>
      <w:r w:rsidR="002273AB">
        <w:rPr>
          <w:sz w:val="26"/>
          <w:szCs w:val="26"/>
        </w:rPr>
        <w:t xml:space="preserve"> Interconnection, LLC (PJM)</w:t>
      </w:r>
      <w:r w:rsidR="002A0C3B" w:rsidRPr="002A0C3B">
        <w:rPr>
          <w:sz w:val="26"/>
          <w:szCs w:val="26"/>
        </w:rPr>
        <w:t xml:space="preserve"> scheduling. </w:t>
      </w:r>
      <w:r w:rsidR="001C20BB">
        <w:rPr>
          <w:sz w:val="26"/>
          <w:szCs w:val="26"/>
        </w:rPr>
        <w:br/>
      </w:r>
    </w:p>
    <w:p w:rsidR="00B409FF" w:rsidRDefault="00B409FF" w:rsidP="00AA3553">
      <w:pPr>
        <w:spacing w:line="276" w:lineRule="auto"/>
        <w:ind w:left="720"/>
        <w:rPr>
          <w:sz w:val="26"/>
          <w:szCs w:val="26"/>
        </w:rPr>
      </w:pPr>
      <w:r>
        <w:rPr>
          <w:sz w:val="26"/>
          <w:szCs w:val="26"/>
        </w:rPr>
        <w:lastRenderedPageBreak/>
        <w:t xml:space="preserve">- </w:t>
      </w:r>
      <w:r w:rsidR="002A0C3B" w:rsidRPr="002A0C3B">
        <w:rPr>
          <w:sz w:val="26"/>
          <w:szCs w:val="26"/>
        </w:rPr>
        <w:t xml:space="preserve">Customers will be required to provide at least one business </w:t>
      </w:r>
      <w:r w:rsidR="00EB7B3D" w:rsidRPr="002A0C3B">
        <w:rPr>
          <w:sz w:val="26"/>
          <w:szCs w:val="26"/>
        </w:rPr>
        <w:t>day notice</w:t>
      </w:r>
      <w:r w:rsidR="002A0C3B" w:rsidRPr="002A0C3B">
        <w:rPr>
          <w:sz w:val="26"/>
          <w:szCs w:val="26"/>
        </w:rPr>
        <w:t xml:space="preserve"> </w:t>
      </w:r>
      <w:r>
        <w:rPr>
          <w:sz w:val="26"/>
          <w:szCs w:val="26"/>
        </w:rPr>
        <w:t xml:space="preserve">to Duquesne </w:t>
      </w:r>
      <w:r w:rsidR="002A0C3B" w:rsidRPr="002A0C3B">
        <w:rPr>
          <w:sz w:val="26"/>
          <w:szCs w:val="26"/>
        </w:rPr>
        <w:t>prior to</w:t>
      </w:r>
      <w:r>
        <w:rPr>
          <w:sz w:val="26"/>
          <w:szCs w:val="26"/>
        </w:rPr>
        <w:t xml:space="preserve"> </w:t>
      </w:r>
      <w:r w:rsidR="002A0C3B" w:rsidRPr="002A0C3B">
        <w:rPr>
          <w:sz w:val="26"/>
          <w:szCs w:val="26"/>
        </w:rPr>
        <w:t>effectuating the seamless move</w:t>
      </w:r>
      <w:r>
        <w:rPr>
          <w:sz w:val="26"/>
          <w:szCs w:val="26"/>
        </w:rPr>
        <w:t xml:space="preserve">. </w:t>
      </w:r>
      <w:r w:rsidR="002A0C3B" w:rsidRPr="002A0C3B">
        <w:rPr>
          <w:sz w:val="26"/>
          <w:szCs w:val="26"/>
        </w:rPr>
        <w:t xml:space="preserve"> </w:t>
      </w:r>
      <w:r>
        <w:rPr>
          <w:sz w:val="26"/>
          <w:szCs w:val="26"/>
        </w:rPr>
        <w:t>Duquesne</w:t>
      </w:r>
      <w:r w:rsidR="002A0C3B" w:rsidRPr="002A0C3B">
        <w:rPr>
          <w:sz w:val="26"/>
          <w:szCs w:val="26"/>
        </w:rPr>
        <w:t xml:space="preserve"> cannot honor a request to start service on the same day as the request, nor will it allow customers to back-date service. </w:t>
      </w:r>
    </w:p>
    <w:p w:rsidR="00AA3553" w:rsidRDefault="00AA3553" w:rsidP="00AA3553">
      <w:pPr>
        <w:spacing w:line="276" w:lineRule="auto"/>
        <w:ind w:left="720"/>
        <w:rPr>
          <w:sz w:val="26"/>
          <w:szCs w:val="26"/>
        </w:rPr>
      </w:pPr>
    </w:p>
    <w:p w:rsidR="00B409FF" w:rsidRDefault="00B409FF" w:rsidP="00AA3553">
      <w:pPr>
        <w:spacing w:line="276" w:lineRule="auto"/>
        <w:ind w:left="720"/>
        <w:rPr>
          <w:sz w:val="26"/>
          <w:szCs w:val="26"/>
        </w:rPr>
      </w:pPr>
      <w:r>
        <w:rPr>
          <w:sz w:val="26"/>
          <w:szCs w:val="26"/>
        </w:rPr>
        <w:t xml:space="preserve">- </w:t>
      </w:r>
      <w:r w:rsidR="001D26F7">
        <w:rPr>
          <w:sz w:val="26"/>
          <w:szCs w:val="26"/>
        </w:rPr>
        <w:t>A</w:t>
      </w:r>
      <w:r w:rsidR="002A0C3B" w:rsidRPr="002A0C3B">
        <w:rPr>
          <w:sz w:val="26"/>
          <w:szCs w:val="26"/>
        </w:rPr>
        <w:t xml:space="preserve"> seamless move </w:t>
      </w:r>
      <w:r w:rsidR="001D26F7">
        <w:rPr>
          <w:sz w:val="26"/>
          <w:szCs w:val="26"/>
        </w:rPr>
        <w:t>will</w:t>
      </w:r>
      <w:r w:rsidR="001D26F7" w:rsidRPr="002A0C3B">
        <w:rPr>
          <w:sz w:val="26"/>
          <w:szCs w:val="26"/>
        </w:rPr>
        <w:t xml:space="preserve"> </w:t>
      </w:r>
      <w:r w:rsidR="002A0C3B" w:rsidRPr="002A0C3B">
        <w:rPr>
          <w:sz w:val="26"/>
          <w:szCs w:val="26"/>
        </w:rPr>
        <w:t>not be allowed for any</w:t>
      </w:r>
      <w:r w:rsidR="001D0D4D">
        <w:rPr>
          <w:sz w:val="26"/>
          <w:szCs w:val="26"/>
        </w:rPr>
        <w:t xml:space="preserve"> </w:t>
      </w:r>
      <w:r w:rsidR="002A0C3B" w:rsidRPr="002A0C3B">
        <w:rPr>
          <w:sz w:val="26"/>
          <w:szCs w:val="26"/>
        </w:rPr>
        <w:t>overlapping service or gaps in service lasting more than three days</w:t>
      </w:r>
      <w:r w:rsidR="001D26F7">
        <w:rPr>
          <w:sz w:val="26"/>
          <w:szCs w:val="26"/>
        </w:rPr>
        <w:t xml:space="preserve">. </w:t>
      </w:r>
      <w:r w:rsidR="002A0C3B" w:rsidRPr="002A0C3B">
        <w:rPr>
          <w:sz w:val="26"/>
          <w:szCs w:val="26"/>
        </w:rPr>
        <w:t xml:space="preserve"> </w:t>
      </w:r>
    </w:p>
    <w:p w:rsidR="00AA3553" w:rsidRDefault="00AA3553" w:rsidP="00AA3553">
      <w:pPr>
        <w:spacing w:line="276" w:lineRule="auto"/>
        <w:ind w:left="720"/>
        <w:rPr>
          <w:sz w:val="26"/>
          <w:szCs w:val="26"/>
        </w:rPr>
      </w:pPr>
    </w:p>
    <w:p w:rsidR="00B409FF" w:rsidRDefault="00B409FF" w:rsidP="00AA3553">
      <w:pPr>
        <w:spacing w:line="276" w:lineRule="auto"/>
        <w:ind w:left="720"/>
        <w:rPr>
          <w:sz w:val="26"/>
          <w:szCs w:val="26"/>
        </w:rPr>
      </w:pPr>
      <w:r>
        <w:rPr>
          <w:sz w:val="26"/>
          <w:szCs w:val="26"/>
        </w:rPr>
        <w:t xml:space="preserve">- </w:t>
      </w:r>
      <w:r w:rsidR="001D26F7">
        <w:rPr>
          <w:sz w:val="26"/>
          <w:szCs w:val="26"/>
        </w:rPr>
        <w:t>T</w:t>
      </w:r>
      <w:r w:rsidR="002A0C3B" w:rsidRPr="002A0C3B">
        <w:rPr>
          <w:sz w:val="26"/>
          <w:szCs w:val="26"/>
        </w:rPr>
        <w:t xml:space="preserve">he customer will be required to request to start the new service and end the old service in the same contact with </w:t>
      </w:r>
      <w:r w:rsidR="001D0D4D">
        <w:rPr>
          <w:sz w:val="26"/>
          <w:szCs w:val="26"/>
        </w:rPr>
        <w:t>Duquesne</w:t>
      </w:r>
      <w:r w:rsidR="002A0C3B" w:rsidRPr="002A0C3B">
        <w:rPr>
          <w:sz w:val="26"/>
          <w:szCs w:val="26"/>
        </w:rPr>
        <w:t xml:space="preserve">. </w:t>
      </w:r>
    </w:p>
    <w:p w:rsidR="00AA3553" w:rsidRDefault="00AA3553" w:rsidP="00AA3553">
      <w:pPr>
        <w:spacing w:line="276" w:lineRule="auto"/>
        <w:ind w:left="720"/>
        <w:rPr>
          <w:sz w:val="26"/>
          <w:szCs w:val="26"/>
        </w:rPr>
      </w:pPr>
    </w:p>
    <w:p w:rsidR="00B409FF" w:rsidRDefault="00B409FF" w:rsidP="00AA3553">
      <w:pPr>
        <w:spacing w:line="276" w:lineRule="auto"/>
        <w:ind w:left="720"/>
        <w:rPr>
          <w:sz w:val="26"/>
          <w:szCs w:val="26"/>
        </w:rPr>
      </w:pPr>
      <w:r>
        <w:rPr>
          <w:sz w:val="26"/>
          <w:szCs w:val="26"/>
        </w:rPr>
        <w:t xml:space="preserve">- </w:t>
      </w:r>
      <w:r w:rsidR="002A0C3B" w:rsidRPr="002A0C3B">
        <w:rPr>
          <w:sz w:val="26"/>
          <w:szCs w:val="26"/>
        </w:rPr>
        <w:t xml:space="preserve">There must be an active meter at the new location when the customer contacts </w:t>
      </w:r>
      <w:r>
        <w:rPr>
          <w:sz w:val="26"/>
          <w:szCs w:val="26"/>
        </w:rPr>
        <w:t>Duquesne</w:t>
      </w:r>
      <w:r w:rsidR="002A0C3B" w:rsidRPr="002A0C3B">
        <w:rPr>
          <w:sz w:val="26"/>
          <w:szCs w:val="26"/>
        </w:rPr>
        <w:t xml:space="preserve"> to </w:t>
      </w:r>
      <w:r w:rsidR="001D26F7">
        <w:rPr>
          <w:sz w:val="26"/>
          <w:szCs w:val="26"/>
        </w:rPr>
        <w:t>complete</w:t>
      </w:r>
      <w:r w:rsidR="001D26F7" w:rsidRPr="002A0C3B">
        <w:rPr>
          <w:sz w:val="26"/>
          <w:szCs w:val="26"/>
        </w:rPr>
        <w:t xml:space="preserve"> </w:t>
      </w:r>
      <w:r w:rsidR="002A0C3B" w:rsidRPr="002A0C3B">
        <w:rPr>
          <w:sz w:val="26"/>
          <w:szCs w:val="26"/>
        </w:rPr>
        <w:t xml:space="preserve">the seamless move. </w:t>
      </w:r>
      <w:r w:rsidR="001D26F7">
        <w:rPr>
          <w:sz w:val="26"/>
          <w:szCs w:val="26"/>
        </w:rPr>
        <w:t xml:space="preserve"> </w:t>
      </w:r>
    </w:p>
    <w:p w:rsidR="00AA3553" w:rsidRPr="002A0C3B" w:rsidRDefault="00AA3553" w:rsidP="00AA3553">
      <w:pPr>
        <w:spacing w:line="276" w:lineRule="auto"/>
        <w:ind w:left="720"/>
        <w:rPr>
          <w:sz w:val="26"/>
          <w:szCs w:val="26"/>
        </w:rPr>
      </w:pPr>
    </w:p>
    <w:p w:rsidR="002A0C3B" w:rsidRDefault="00B409FF" w:rsidP="00AA3553">
      <w:pPr>
        <w:spacing w:line="276" w:lineRule="auto"/>
        <w:ind w:left="720"/>
        <w:rPr>
          <w:sz w:val="26"/>
          <w:szCs w:val="26"/>
        </w:rPr>
      </w:pPr>
      <w:r>
        <w:rPr>
          <w:sz w:val="26"/>
          <w:szCs w:val="26"/>
        </w:rPr>
        <w:t xml:space="preserve">- </w:t>
      </w:r>
      <w:r w:rsidR="002A0C3B" w:rsidRPr="002A0C3B">
        <w:rPr>
          <w:sz w:val="26"/>
          <w:szCs w:val="26"/>
        </w:rPr>
        <w:t xml:space="preserve">An EGS must currently be providing service on the customer's account to be eligible for a seamless move, and any termination of EGS service prior to the customer's move will </w:t>
      </w:r>
      <w:r w:rsidR="001D26F7">
        <w:rPr>
          <w:sz w:val="26"/>
          <w:szCs w:val="26"/>
        </w:rPr>
        <w:t>preclude a</w:t>
      </w:r>
      <w:r w:rsidR="002A0C3B" w:rsidRPr="002A0C3B">
        <w:rPr>
          <w:sz w:val="26"/>
          <w:szCs w:val="26"/>
        </w:rPr>
        <w:t xml:space="preserve"> seamless move by </w:t>
      </w:r>
      <w:r>
        <w:rPr>
          <w:sz w:val="26"/>
          <w:szCs w:val="26"/>
        </w:rPr>
        <w:t>Duquesne</w:t>
      </w:r>
      <w:r w:rsidR="002A0C3B" w:rsidRPr="002A0C3B">
        <w:rPr>
          <w:sz w:val="26"/>
          <w:szCs w:val="26"/>
        </w:rPr>
        <w:t>.</w:t>
      </w:r>
    </w:p>
    <w:p w:rsidR="00AA3553" w:rsidRPr="002A0C3B" w:rsidRDefault="00AA3553" w:rsidP="00AA3553">
      <w:pPr>
        <w:spacing w:line="276" w:lineRule="auto"/>
        <w:ind w:left="720"/>
        <w:rPr>
          <w:sz w:val="26"/>
          <w:szCs w:val="26"/>
        </w:rPr>
      </w:pPr>
    </w:p>
    <w:p w:rsidR="002A0C3B" w:rsidRDefault="00B409FF" w:rsidP="00AA3553">
      <w:pPr>
        <w:spacing w:line="276" w:lineRule="auto"/>
        <w:ind w:left="720"/>
        <w:rPr>
          <w:sz w:val="26"/>
          <w:szCs w:val="26"/>
        </w:rPr>
      </w:pPr>
      <w:r>
        <w:rPr>
          <w:sz w:val="26"/>
          <w:szCs w:val="26"/>
        </w:rPr>
        <w:t xml:space="preserve">- </w:t>
      </w:r>
      <w:r w:rsidR="001D26F7">
        <w:rPr>
          <w:sz w:val="26"/>
          <w:szCs w:val="26"/>
        </w:rPr>
        <w:t>A</w:t>
      </w:r>
      <w:r w:rsidR="002A0C3B" w:rsidRPr="002A0C3B">
        <w:rPr>
          <w:sz w:val="26"/>
          <w:szCs w:val="26"/>
        </w:rPr>
        <w:t xml:space="preserve"> new EDI transaction </w:t>
      </w:r>
      <w:r w:rsidR="001D26F7">
        <w:rPr>
          <w:sz w:val="26"/>
          <w:szCs w:val="26"/>
        </w:rPr>
        <w:t xml:space="preserve">must </w:t>
      </w:r>
      <w:r w:rsidR="002A0C3B" w:rsidRPr="002A0C3B">
        <w:rPr>
          <w:sz w:val="26"/>
          <w:szCs w:val="26"/>
        </w:rPr>
        <w:t xml:space="preserve">be created to facilitate the seamless move process. </w:t>
      </w:r>
      <w:r w:rsidR="001D26F7">
        <w:rPr>
          <w:sz w:val="26"/>
          <w:szCs w:val="26"/>
        </w:rPr>
        <w:t xml:space="preserve"> </w:t>
      </w:r>
      <w:r w:rsidR="002A0C3B" w:rsidRPr="002A0C3B">
        <w:rPr>
          <w:sz w:val="26"/>
          <w:szCs w:val="26"/>
        </w:rPr>
        <w:t xml:space="preserve">The new EDI transaction </w:t>
      </w:r>
      <w:r w:rsidR="00DB5329">
        <w:rPr>
          <w:sz w:val="26"/>
          <w:szCs w:val="26"/>
        </w:rPr>
        <w:t>is to</w:t>
      </w:r>
      <w:r w:rsidR="00DB5329" w:rsidRPr="002A0C3B">
        <w:rPr>
          <w:sz w:val="26"/>
          <w:szCs w:val="26"/>
        </w:rPr>
        <w:t xml:space="preserve"> </w:t>
      </w:r>
      <w:r w:rsidR="002A0C3B" w:rsidRPr="002A0C3B">
        <w:rPr>
          <w:sz w:val="26"/>
          <w:szCs w:val="26"/>
        </w:rPr>
        <w:t xml:space="preserve">be </w:t>
      </w:r>
      <w:r w:rsidR="00DB5329">
        <w:rPr>
          <w:sz w:val="26"/>
          <w:szCs w:val="26"/>
        </w:rPr>
        <w:t xml:space="preserve">reviewed and </w:t>
      </w:r>
      <w:r w:rsidR="002A0C3B" w:rsidRPr="002A0C3B">
        <w:rPr>
          <w:sz w:val="26"/>
          <w:szCs w:val="26"/>
        </w:rPr>
        <w:t xml:space="preserve">approved by the Electronic Data Exchange Working Group (EDEWG) consistent with its current procedures. </w:t>
      </w:r>
      <w:r w:rsidR="00DB5329">
        <w:rPr>
          <w:sz w:val="26"/>
          <w:szCs w:val="26"/>
        </w:rPr>
        <w:t xml:space="preserve"> </w:t>
      </w:r>
      <w:r w:rsidR="002A0C3B" w:rsidRPr="002A0C3B">
        <w:rPr>
          <w:sz w:val="26"/>
          <w:szCs w:val="26"/>
        </w:rPr>
        <w:t xml:space="preserve">This </w:t>
      </w:r>
      <w:r w:rsidR="00DB5329">
        <w:rPr>
          <w:sz w:val="26"/>
          <w:szCs w:val="26"/>
        </w:rPr>
        <w:t xml:space="preserve">EDI </w:t>
      </w:r>
      <w:r w:rsidR="002A0C3B" w:rsidRPr="002A0C3B">
        <w:rPr>
          <w:sz w:val="26"/>
          <w:szCs w:val="26"/>
        </w:rPr>
        <w:t xml:space="preserve">transaction </w:t>
      </w:r>
      <w:r w:rsidR="00DB5329">
        <w:rPr>
          <w:sz w:val="26"/>
          <w:szCs w:val="26"/>
        </w:rPr>
        <w:t>will</w:t>
      </w:r>
      <w:r w:rsidR="00DB5329" w:rsidRPr="002A0C3B">
        <w:rPr>
          <w:sz w:val="26"/>
          <w:szCs w:val="26"/>
        </w:rPr>
        <w:t xml:space="preserve"> </w:t>
      </w:r>
      <w:r w:rsidR="002A0C3B" w:rsidRPr="002A0C3B">
        <w:rPr>
          <w:sz w:val="26"/>
          <w:szCs w:val="26"/>
        </w:rPr>
        <w:t>include all the pertinent customer information that an EGS need</w:t>
      </w:r>
      <w:r w:rsidR="00DB5329">
        <w:rPr>
          <w:sz w:val="26"/>
          <w:szCs w:val="26"/>
        </w:rPr>
        <w:t>s,</w:t>
      </w:r>
      <w:r w:rsidR="002A0C3B" w:rsidRPr="002A0C3B">
        <w:rPr>
          <w:sz w:val="26"/>
          <w:szCs w:val="26"/>
        </w:rPr>
        <w:t xml:space="preserve"> such as</w:t>
      </w:r>
      <w:r>
        <w:rPr>
          <w:sz w:val="26"/>
          <w:szCs w:val="26"/>
        </w:rPr>
        <w:t xml:space="preserve"> </w:t>
      </w:r>
      <w:r w:rsidR="001D0D4D">
        <w:rPr>
          <w:sz w:val="26"/>
          <w:szCs w:val="26"/>
        </w:rPr>
        <w:t>c</w:t>
      </w:r>
      <w:r w:rsidR="002A0C3B" w:rsidRPr="002A0C3B">
        <w:rPr>
          <w:sz w:val="26"/>
          <w:szCs w:val="26"/>
        </w:rPr>
        <w:t xml:space="preserve">ustomer </w:t>
      </w:r>
      <w:r w:rsidR="001D0D4D">
        <w:rPr>
          <w:sz w:val="26"/>
          <w:szCs w:val="26"/>
        </w:rPr>
        <w:t>c</w:t>
      </w:r>
      <w:r w:rsidR="002A0C3B" w:rsidRPr="002A0C3B">
        <w:rPr>
          <w:sz w:val="26"/>
          <w:szCs w:val="26"/>
        </w:rPr>
        <w:t>ontact information</w:t>
      </w:r>
      <w:r>
        <w:rPr>
          <w:sz w:val="26"/>
          <w:szCs w:val="26"/>
        </w:rPr>
        <w:t xml:space="preserve">; </w:t>
      </w:r>
      <w:r w:rsidR="002A0C3B" w:rsidRPr="002A0C3B">
        <w:rPr>
          <w:sz w:val="26"/>
          <w:szCs w:val="26"/>
        </w:rPr>
        <w:t>new address</w:t>
      </w:r>
      <w:r>
        <w:rPr>
          <w:sz w:val="26"/>
          <w:szCs w:val="26"/>
        </w:rPr>
        <w:t xml:space="preserve">; </w:t>
      </w:r>
      <w:r w:rsidR="002A0C3B" w:rsidRPr="002A0C3B">
        <w:rPr>
          <w:sz w:val="26"/>
          <w:szCs w:val="26"/>
        </w:rPr>
        <w:t>name</w:t>
      </w:r>
      <w:r>
        <w:rPr>
          <w:sz w:val="26"/>
          <w:szCs w:val="26"/>
        </w:rPr>
        <w:t xml:space="preserve">; </w:t>
      </w:r>
      <w:r w:rsidR="001D0D4D">
        <w:rPr>
          <w:sz w:val="26"/>
          <w:szCs w:val="26"/>
        </w:rPr>
        <w:t>r</w:t>
      </w:r>
      <w:r w:rsidR="002A0C3B" w:rsidRPr="002A0C3B">
        <w:rPr>
          <w:sz w:val="26"/>
          <w:szCs w:val="26"/>
        </w:rPr>
        <w:t>ate class and load profile;</w:t>
      </w:r>
      <w:r>
        <w:rPr>
          <w:sz w:val="26"/>
          <w:szCs w:val="26"/>
        </w:rPr>
        <w:t xml:space="preserve"> b</w:t>
      </w:r>
      <w:r w:rsidR="002A0C3B" w:rsidRPr="002A0C3B">
        <w:rPr>
          <w:sz w:val="26"/>
          <w:szCs w:val="26"/>
        </w:rPr>
        <w:t>ill option</w:t>
      </w:r>
      <w:r>
        <w:rPr>
          <w:sz w:val="26"/>
          <w:szCs w:val="26"/>
        </w:rPr>
        <w:t xml:space="preserve">; </w:t>
      </w:r>
      <w:r w:rsidR="002A0C3B" w:rsidRPr="002A0C3B">
        <w:rPr>
          <w:sz w:val="26"/>
          <w:szCs w:val="26"/>
        </w:rPr>
        <w:t>rate code</w:t>
      </w:r>
      <w:r>
        <w:rPr>
          <w:sz w:val="26"/>
          <w:szCs w:val="26"/>
        </w:rPr>
        <w:t>;</w:t>
      </w:r>
      <w:r w:rsidR="002A0C3B" w:rsidRPr="002A0C3B">
        <w:rPr>
          <w:sz w:val="26"/>
          <w:szCs w:val="26"/>
        </w:rPr>
        <w:t xml:space="preserve"> tax exemption percentage;</w:t>
      </w:r>
      <w:r>
        <w:rPr>
          <w:sz w:val="26"/>
          <w:szCs w:val="26"/>
        </w:rPr>
        <w:t xml:space="preserve"> b</w:t>
      </w:r>
      <w:r w:rsidR="002A0C3B" w:rsidRPr="002A0C3B">
        <w:rPr>
          <w:sz w:val="26"/>
          <w:szCs w:val="26"/>
        </w:rPr>
        <w:t>illing and meter read cycles; and</w:t>
      </w:r>
      <w:r>
        <w:rPr>
          <w:sz w:val="26"/>
          <w:szCs w:val="26"/>
        </w:rPr>
        <w:t xml:space="preserve"> m</w:t>
      </w:r>
      <w:r w:rsidR="002A0C3B" w:rsidRPr="002A0C3B">
        <w:rPr>
          <w:sz w:val="26"/>
          <w:szCs w:val="26"/>
        </w:rPr>
        <w:t>eter information.</w:t>
      </w:r>
    </w:p>
    <w:p w:rsidR="00AA3553" w:rsidRPr="002A0C3B" w:rsidRDefault="00AA3553" w:rsidP="00AA3553">
      <w:pPr>
        <w:spacing w:line="276" w:lineRule="auto"/>
        <w:ind w:left="720"/>
        <w:rPr>
          <w:sz w:val="26"/>
          <w:szCs w:val="26"/>
        </w:rPr>
      </w:pPr>
    </w:p>
    <w:p w:rsidR="00852E36" w:rsidRDefault="00B409FF" w:rsidP="00AA3553">
      <w:pPr>
        <w:spacing w:line="276" w:lineRule="auto"/>
        <w:ind w:left="720"/>
        <w:rPr>
          <w:sz w:val="26"/>
          <w:szCs w:val="26"/>
        </w:rPr>
      </w:pPr>
      <w:r>
        <w:rPr>
          <w:sz w:val="26"/>
          <w:szCs w:val="26"/>
        </w:rPr>
        <w:t xml:space="preserve">- </w:t>
      </w:r>
      <w:r w:rsidR="00DB5329">
        <w:rPr>
          <w:sz w:val="26"/>
          <w:szCs w:val="26"/>
        </w:rPr>
        <w:t>An</w:t>
      </w:r>
      <w:r>
        <w:rPr>
          <w:sz w:val="26"/>
          <w:szCs w:val="26"/>
        </w:rPr>
        <w:t xml:space="preserve"> </w:t>
      </w:r>
      <w:r w:rsidR="002A0C3B" w:rsidRPr="00B409FF">
        <w:rPr>
          <w:sz w:val="26"/>
          <w:szCs w:val="26"/>
        </w:rPr>
        <w:t xml:space="preserve">EDI transaction </w:t>
      </w:r>
      <w:r w:rsidR="00DB5329">
        <w:rPr>
          <w:sz w:val="26"/>
          <w:szCs w:val="26"/>
        </w:rPr>
        <w:t xml:space="preserve">will </w:t>
      </w:r>
      <w:r w:rsidR="002A0C3B" w:rsidRPr="00B409FF">
        <w:rPr>
          <w:sz w:val="26"/>
          <w:szCs w:val="26"/>
        </w:rPr>
        <w:t xml:space="preserve">also be sent for other reasons </w:t>
      </w:r>
      <w:r w:rsidR="00DB5329">
        <w:rPr>
          <w:sz w:val="26"/>
          <w:szCs w:val="26"/>
        </w:rPr>
        <w:t>related to</w:t>
      </w:r>
      <w:r w:rsidR="002A0C3B" w:rsidRPr="00B409FF">
        <w:rPr>
          <w:sz w:val="26"/>
          <w:szCs w:val="26"/>
        </w:rPr>
        <w:t xml:space="preserve"> the seamless move process.</w:t>
      </w:r>
      <w:r w:rsidR="00DB5329">
        <w:rPr>
          <w:sz w:val="26"/>
          <w:szCs w:val="26"/>
        </w:rPr>
        <w:t xml:space="preserve"> </w:t>
      </w:r>
      <w:r w:rsidR="002A0C3B" w:rsidRPr="00B409FF">
        <w:rPr>
          <w:sz w:val="26"/>
          <w:szCs w:val="26"/>
        </w:rPr>
        <w:t xml:space="preserve"> Customers requesting to change the start date of their new service would require an EDI 814 Change request to be sent to the existing EGS detailing the new start date, and an EDI 814 Drop request would be sent if the customer decided to cancel the new move. </w:t>
      </w:r>
    </w:p>
    <w:p w:rsidR="00AA3553" w:rsidRDefault="00AA3553" w:rsidP="00AA3553">
      <w:pPr>
        <w:spacing w:line="276" w:lineRule="auto"/>
        <w:ind w:left="720"/>
        <w:rPr>
          <w:sz w:val="26"/>
          <w:szCs w:val="26"/>
        </w:rPr>
      </w:pPr>
    </w:p>
    <w:p w:rsidR="002A0C3B" w:rsidRDefault="00852E36" w:rsidP="00AA3553">
      <w:pPr>
        <w:spacing w:line="276" w:lineRule="auto"/>
        <w:ind w:left="720"/>
        <w:rPr>
          <w:sz w:val="26"/>
          <w:szCs w:val="26"/>
        </w:rPr>
      </w:pPr>
      <w:r>
        <w:rPr>
          <w:sz w:val="26"/>
          <w:szCs w:val="26"/>
        </w:rPr>
        <w:t xml:space="preserve">- </w:t>
      </w:r>
      <w:r w:rsidR="002A0C3B" w:rsidRPr="002A0C3B">
        <w:rPr>
          <w:sz w:val="26"/>
          <w:szCs w:val="26"/>
        </w:rPr>
        <w:t xml:space="preserve">If the seamless move criteria have been met, </w:t>
      </w:r>
      <w:r>
        <w:rPr>
          <w:sz w:val="26"/>
          <w:szCs w:val="26"/>
        </w:rPr>
        <w:t>Duquesne</w:t>
      </w:r>
      <w:r w:rsidR="002A0C3B" w:rsidRPr="002A0C3B">
        <w:rPr>
          <w:sz w:val="26"/>
          <w:szCs w:val="26"/>
        </w:rPr>
        <w:t xml:space="preserve"> will advise the </w:t>
      </w:r>
      <w:r w:rsidR="002A0C3B" w:rsidRPr="002A0C3B">
        <w:rPr>
          <w:sz w:val="26"/>
          <w:szCs w:val="26"/>
        </w:rPr>
        <w:br/>
        <w:t xml:space="preserve">customer that their EGS supply service will seamlessly move to their new location, and </w:t>
      </w:r>
      <w:r>
        <w:rPr>
          <w:sz w:val="26"/>
          <w:szCs w:val="26"/>
        </w:rPr>
        <w:t xml:space="preserve">Duquesne </w:t>
      </w:r>
      <w:r w:rsidR="002A0C3B" w:rsidRPr="002A0C3B">
        <w:rPr>
          <w:sz w:val="26"/>
          <w:szCs w:val="26"/>
        </w:rPr>
        <w:t xml:space="preserve">will send a new move transaction to the EGS. </w:t>
      </w:r>
      <w:r w:rsidR="00DB5329">
        <w:rPr>
          <w:sz w:val="26"/>
          <w:szCs w:val="26"/>
        </w:rPr>
        <w:t xml:space="preserve"> </w:t>
      </w:r>
      <w:r w:rsidR="002A0C3B" w:rsidRPr="002A0C3B">
        <w:rPr>
          <w:sz w:val="26"/>
          <w:szCs w:val="26"/>
        </w:rPr>
        <w:t xml:space="preserve">In the move transaction, Duquesne will send the EGS information that is similar to what is currently provided in a reinstate-request transaction, including the customer name, </w:t>
      </w:r>
      <w:r w:rsidR="002A0C3B" w:rsidRPr="002A0C3B">
        <w:rPr>
          <w:sz w:val="26"/>
          <w:szCs w:val="26"/>
        </w:rPr>
        <w:lastRenderedPageBreak/>
        <w:t xml:space="preserve">service address and rate class. </w:t>
      </w:r>
      <w:r w:rsidR="001D0D4D">
        <w:rPr>
          <w:sz w:val="26"/>
          <w:szCs w:val="26"/>
        </w:rPr>
        <w:t xml:space="preserve"> Duquesne</w:t>
      </w:r>
      <w:r w:rsidR="002A0C3B" w:rsidRPr="002A0C3B">
        <w:rPr>
          <w:sz w:val="26"/>
          <w:szCs w:val="26"/>
        </w:rPr>
        <w:t xml:space="preserve"> will also provide the EGS with: (i) the current supply agreement identification number; (ii) the new supply agreement identification number; and (iii) the service start date. </w:t>
      </w:r>
      <w:r w:rsidR="00DB5329">
        <w:rPr>
          <w:sz w:val="26"/>
          <w:szCs w:val="26"/>
        </w:rPr>
        <w:t xml:space="preserve"> </w:t>
      </w:r>
      <w:r w:rsidR="002A0C3B" w:rsidRPr="002A0C3B">
        <w:rPr>
          <w:sz w:val="26"/>
          <w:szCs w:val="26"/>
        </w:rPr>
        <w:t>Once the move transaction has been sent to the EGS, the EGS will serve the new account as of the service start date.</w:t>
      </w:r>
    </w:p>
    <w:p w:rsidR="00AA3553" w:rsidRDefault="00AA3553" w:rsidP="00AA3553">
      <w:pPr>
        <w:spacing w:line="276" w:lineRule="auto"/>
        <w:ind w:left="720"/>
        <w:rPr>
          <w:sz w:val="26"/>
          <w:szCs w:val="26"/>
        </w:rPr>
      </w:pPr>
    </w:p>
    <w:p w:rsidR="002A0C3B" w:rsidRDefault="00852E36" w:rsidP="00AA3553">
      <w:pPr>
        <w:spacing w:line="276" w:lineRule="auto"/>
        <w:ind w:left="720"/>
        <w:rPr>
          <w:sz w:val="26"/>
          <w:szCs w:val="26"/>
        </w:rPr>
      </w:pPr>
      <w:r>
        <w:rPr>
          <w:sz w:val="26"/>
          <w:szCs w:val="26"/>
        </w:rPr>
        <w:t xml:space="preserve">-  </w:t>
      </w:r>
      <w:r w:rsidR="002A0C3B" w:rsidRPr="002A0C3B">
        <w:rPr>
          <w:sz w:val="26"/>
          <w:szCs w:val="26"/>
        </w:rPr>
        <w:t xml:space="preserve">The seamless move may be terminated or voided after the move transaction is complete under certain circumstances, including where the customer: (i) voids or terminates the new account prior to the service start date; (ii) requests to change the service start date on the new account to a date occurring in the past; or (iii) enrolls </w:t>
      </w:r>
      <w:r w:rsidR="00B22D96">
        <w:rPr>
          <w:sz w:val="26"/>
          <w:szCs w:val="26"/>
        </w:rPr>
        <w:t xml:space="preserve">with </w:t>
      </w:r>
      <w:r w:rsidR="002A0C3B" w:rsidRPr="002A0C3B">
        <w:rPr>
          <w:sz w:val="26"/>
          <w:szCs w:val="26"/>
        </w:rPr>
        <w:t xml:space="preserve">a new EGS on the current account before the connection to the new account occurs. </w:t>
      </w:r>
      <w:r w:rsidR="00DB5329">
        <w:rPr>
          <w:sz w:val="26"/>
          <w:szCs w:val="26"/>
        </w:rPr>
        <w:t xml:space="preserve"> </w:t>
      </w:r>
      <w:r w:rsidR="002A0C3B" w:rsidRPr="002A0C3B">
        <w:rPr>
          <w:sz w:val="26"/>
          <w:szCs w:val="26"/>
        </w:rPr>
        <w:t>In these instances, Duquesne will send a drop notification to the EGS.</w:t>
      </w:r>
    </w:p>
    <w:p w:rsidR="00852E36" w:rsidRDefault="00852E36" w:rsidP="002A0C3B">
      <w:pPr>
        <w:rPr>
          <w:sz w:val="26"/>
          <w:szCs w:val="26"/>
        </w:rPr>
      </w:pPr>
    </w:p>
    <w:p w:rsidR="00852E36" w:rsidRPr="00852E36" w:rsidRDefault="00852E36" w:rsidP="002A0C3B">
      <w:pPr>
        <w:rPr>
          <w:b/>
          <w:sz w:val="26"/>
          <w:szCs w:val="26"/>
        </w:rPr>
      </w:pPr>
      <w:r w:rsidRPr="00852E36">
        <w:rPr>
          <w:b/>
          <w:sz w:val="26"/>
          <w:szCs w:val="26"/>
        </w:rPr>
        <w:t>Instant Connects</w:t>
      </w:r>
    </w:p>
    <w:p w:rsidR="00852E36" w:rsidRDefault="00852E36" w:rsidP="002A0C3B">
      <w:pPr>
        <w:rPr>
          <w:sz w:val="26"/>
          <w:szCs w:val="26"/>
        </w:rPr>
      </w:pPr>
    </w:p>
    <w:p w:rsidR="00852E36" w:rsidRDefault="00852E36" w:rsidP="00852E36">
      <w:pPr>
        <w:spacing w:line="360" w:lineRule="auto"/>
        <w:ind w:firstLine="720"/>
        <w:rPr>
          <w:sz w:val="26"/>
          <w:szCs w:val="26"/>
        </w:rPr>
      </w:pPr>
      <w:r>
        <w:rPr>
          <w:sz w:val="26"/>
          <w:szCs w:val="26"/>
        </w:rPr>
        <w:t xml:space="preserve">Under Duquesne’s </w:t>
      </w:r>
      <w:r w:rsidRPr="002A0C3B">
        <w:rPr>
          <w:sz w:val="26"/>
          <w:szCs w:val="26"/>
        </w:rPr>
        <w:t xml:space="preserve">proposed instant connect </w:t>
      </w:r>
      <w:proofErr w:type="gramStart"/>
      <w:r w:rsidRPr="002A0C3B">
        <w:rPr>
          <w:sz w:val="26"/>
          <w:szCs w:val="26"/>
        </w:rPr>
        <w:t>process,</w:t>
      </w:r>
      <w:proofErr w:type="gramEnd"/>
      <w:r w:rsidRPr="002A0C3B">
        <w:rPr>
          <w:sz w:val="26"/>
          <w:szCs w:val="26"/>
        </w:rPr>
        <w:t xml:space="preserve"> new customers will be able to shop with an EGS without being enrolled in default service, provided that customers meet the rules that are set forth below</w:t>
      </w:r>
      <w:r>
        <w:rPr>
          <w:sz w:val="26"/>
          <w:szCs w:val="26"/>
        </w:rPr>
        <w:t>:</w:t>
      </w:r>
    </w:p>
    <w:p w:rsidR="00852E36" w:rsidRPr="002A0C3B" w:rsidRDefault="00852E36" w:rsidP="00852E36">
      <w:pPr>
        <w:spacing w:line="360" w:lineRule="auto"/>
        <w:rPr>
          <w:sz w:val="26"/>
          <w:szCs w:val="26"/>
        </w:rPr>
      </w:pPr>
      <w:r w:rsidRPr="002A0C3B">
        <w:rPr>
          <w:sz w:val="26"/>
          <w:szCs w:val="26"/>
        </w:rPr>
        <w:t xml:space="preserve"> </w:t>
      </w:r>
    </w:p>
    <w:p w:rsidR="002A0C3B" w:rsidRDefault="00852E36" w:rsidP="00AA3553">
      <w:pPr>
        <w:spacing w:line="276" w:lineRule="auto"/>
        <w:ind w:left="720"/>
        <w:rPr>
          <w:sz w:val="26"/>
          <w:szCs w:val="26"/>
        </w:rPr>
      </w:pPr>
      <w:r>
        <w:rPr>
          <w:sz w:val="26"/>
          <w:szCs w:val="26"/>
        </w:rPr>
        <w:t>- E</w:t>
      </w:r>
      <w:r w:rsidR="002A0C3B" w:rsidRPr="002A0C3B">
        <w:rPr>
          <w:sz w:val="26"/>
          <w:szCs w:val="26"/>
        </w:rPr>
        <w:t>ligibility requirements for a</w:t>
      </w:r>
      <w:r>
        <w:rPr>
          <w:sz w:val="26"/>
          <w:szCs w:val="26"/>
        </w:rPr>
        <w:t xml:space="preserve">n instant connect are the same as for </w:t>
      </w:r>
      <w:r w:rsidR="002A0C3B" w:rsidRPr="002A0C3B">
        <w:rPr>
          <w:sz w:val="26"/>
          <w:szCs w:val="26"/>
        </w:rPr>
        <w:t>seamless move</w:t>
      </w:r>
      <w:r>
        <w:rPr>
          <w:sz w:val="26"/>
          <w:szCs w:val="26"/>
        </w:rPr>
        <w:t>s</w:t>
      </w:r>
      <w:r w:rsidR="003B1CB6">
        <w:rPr>
          <w:sz w:val="26"/>
          <w:szCs w:val="26"/>
        </w:rPr>
        <w:t>.</w:t>
      </w:r>
      <w:r w:rsidR="00170ED2">
        <w:rPr>
          <w:sz w:val="26"/>
          <w:szCs w:val="26"/>
        </w:rPr>
        <w:t xml:space="preserve">  </w:t>
      </w:r>
      <w:r w:rsidR="003B1CB6">
        <w:rPr>
          <w:sz w:val="26"/>
          <w:szCs w:val="26"/>
        </w:rPr>
        <w:t>Instant connects</w:t>
      </w:r>
      <w:r w:rsidR="003B1CB6" w:rsidRPr="00B409FF">
        <w:rPr>
          <w:sz w:val="26"/>
          <w:szCs w:val="26"/>
        </w:rPr>
        <w:t xml:space="preserve"> will be available to all residential customers as well as commercial and industrial customers that use less than 300 kW of demand as defined in the Tariff.    </w:t>
      </w:r>
      <w:r>
        <w:rPr>
          <w:sz w:val="26"/>
          <w:szCs w:val="26"/>
        </w:rPr>
        <w:t xml:space="preserve"> </w:t>
      </w:r>
    </w:p>
    <w:p w:rsidR="00AA3553" w:rsidRPr="002A0C3B" w:rsidRDefault="00AA3553" w:rsidP="00AA3553">
      <w:pPr>
        <w:spacing w:line="276" w:lineRule="auto"/>
        <w:ind w:left="720"/>
        <w:rPr>
          <w:sz w:val="26"/>
          <w:szCs w:val="26"/>
        </w:rPr>
      </w:pPr>
    </w:p>
    <w:p w:rsidR="002A0C3B" w:rsidRDefault="00852E36" w:rsidP="00EB7B3D">
      <w:pPr>
        <w:spacing w:line="276" w:lineRule="auto"/>
        <w:ind w:left="720"/>
        <w:rPr>
          <w:sz w:val="26"/>
          <w:szCs w:val="26"/>
        </w:rPr>
      </w:pPr>
      <w:r>
        <w:rPr>
          <w:sz w:val="26"/>
          <w:szCs w:val="26"/>
        </w:rPr>
        <w:t xml:space="preserve">- </w:t>
      </w:r>
      <w:r w:rsidR="002A0C3B" w:rsidRPr="002A0C3B">
        <w:rPr>
          <w:sz w:val="26"/>
          <w:szCs w:val="26"/>
        </w:rPr>
        <w:t xml:space="preserve">Customers must provide </w:t>
      </w:r>
      <w:r w:rsidR="00EC2040">
        <w:rPr>
          <w:sz w:val="26"/>
          <w:szCs w:val="26"/>
        </w:rPr>
        <w:t xml:space="preserve">a notice of an instant connect </w:t>
      </w:r>
      <w:r w:rsidR="002A0C3B" w:rsidRPr="002A0C3B">
        <w:rPr>
          <w:sz w:val="26"/>
          <w:szCs w:val="26"/>
        </w:rPr>
        <w:t xml:space="preserve">at least </w:t>
      </w:r>
      <w:r w:rsidR="00FB7B5B">
        <w:rPr>
          <w:sz w:val="26"/>
          <w:szCs w:val="26"/>
        </w:rPr>
        <w:t xml:space="preserve">three </w:t>
      </w:r>
      <w:r w:rsidR="002A0C3B" w:rsidRPr="002A0C3B">
        <w:rPr>
          <w:sz w:val="26"/>
          <w:szCs w:val="26"/>
        </w:rPr>
        <w:t xml:space="preserve">business days prior to </w:t>
      </w:r>
      <w:r w:rsidR="00EC2040">
        <w:rPr>
          <w:sz w:val="26"/>
          <w:szCs w:val="26"/>
        </w:rPr>
        <w:t xml:space="preserve">the instant connect date to </w:t>
      </w:r>
      <w:r w:rsidR="002A0C3B" w:rsidRPr="002A0C3B">
        <w:rPr>
          <w:sz w:val="26"/>
          <w:szCs w:val="26"/>
        </w:rPr>
        <w:t>qualify for the</w:t>
      </w:r>
      <w:r w:rsidR="00EB7B3D">
        <w:rPr>
          <w:sz w:val="26"/>
          <w:szCs w:val="26"/>
        </w:rPr>
        <w:t xml:space="preserve"> </w:t>
      </w:r>
      <w:r w:rsidR="002A0C3B" w:rsidRPr="002A0C3B">
        <w:rPr>
          <w:sz w:val="26"/>
          <w:szCs w:val="26"/>
        </w:rPr>
        <w:t>instant connect process.</w:t>
      </w:r>
    </w:p>
    <w:p w:rsidR="00AA3553" w:rsidRPr="002A0C3B" w:rsidRDefault="00AA3553" w:rsidP="00AA3553">
      <w:pPr>
        <w:spacing w:line="276" w:lineRule="auto"/>
        <w:ind w:firstLine="720"/>
        <w:rPr>
          <w:sz w:val="26"/>
          <w:szCs w:val="26"/>
        </w:rPr>
      </w:pPr>
    </w:p>
    <w:p w:rsidR="00852E36" w:rsidRDefault="00852E36" w:rsidP="00AA3553">
      <w:pPr>
        <w:spacing w:line="276" w:lineRule="auto"/>
        <w:ind w:left="720"/>
        <w:rPr>
          <w:sz w:val="26"/>
          <w:szCs w:val="26"/>
        </w:rPr>
      </w:pPr>
      <w:r>
        <w:rPr>
          <w:sz w:val="26"/>
          <w:szCs w:val="26"/>
        </w:rPr>
        <w:t xml:space="preserve">-  </w:t>
      </w:r>
      <w:r w:rsidR="002A0C3B" w:rsidRPr="002A0C3B">
        <w:rPr>
          <w:sz w:val="26"/>
          <w:szCs w:val="26"/>
        </w:rPr>
        <w:t>Customers will not be permitted to back</w:t>
      </w:r>
      <w:r w:rsidR="00FB7B5B">
        <w:rPr>
          <w:sz w:val="26"/>
          <w:szCs w:val="26"/>
        </w:rPr>
        <w:t>-</w:t>
      </w:r>
      <w:r w:rsidR="002A0C3B" w:rsidRPr="002A0C3B">
        <w:rPr>
          <w:sz w:val="26"/>
          <w:szCs w:val="26"/>
        </w:rPr>
        <w:t>date service</w:t>
      </w:r>
      <w:r>
        <w:rPr>
          <w:sz w:val="26"/>
          <w:szCs w:val="26"/>
        </w:rPr>
        <w:t xml:space="preserve">.  </w:t>
      </w:r>
      <w:r w:rsidR="002A0C3B" w:rsidRPr="002A0C3B">
        <w:rPr>
          <w:sz w:val="26"/>
          <w:szCs w:val="26"/>
        </w:rPr>
        <w:t xml:space="preserve"> </w:t>
      </w:r>
    </w:p>
    <w:p w:rsidR="00AA3553" w:rsidRDefault="00AA3553" w:rsidP="00AA3553">
      <w:pPr>
        <w:spacing w:line="276" w:lineRule="auto"/>
        <w:ind w:left="720"/>
        <w:rPr>
          <w:sz w:val="26"/>
          <w:szCs w:val="26"/>
        </w:rPr>
      </w:pPr>
    </w:p>
    <w:p w:rsidR="002A0C3B" w:rsidRDefault="00852E36" w:rsidP="00AA3553">
      <w:pPr>
        <w:spacing w:line="276" w:lineRule="auto"/>
        <w:ind w:left="720"/>
        <w:rPr>
          <w:sz w:val="26"/>
          <w:szCs w:val="26"/>
        </w:rPr>
      </w:pPr>
      <w:r>
        <w:rPr>
          <w:sz w:val="26"/>
          <w:szCs w:val="26"/>
        </w:rPr>
        <w:t xml:space="preserve">-  </w:t>
      </w:r>
      <w:r w:rsidR="002A0C3B" w:rsidRPr="002A0C3B">
        <w:rPr>
          <w:sz w:val="26"/>
          <w:szCs w:val="26"/>
        </w:rPr>
        <w:t xml:space="preserve">In order to accommodate instant connections, Duquesne will change its system so that it can accept inbound enrollment requests on accounts that are not yet active. </w:t>
      </w:r>
      <w:r w:rsidR="00EC2040">
        <w:rPr>
          <w:sz w:val="26"/>
          <w:szCs w:val="26"/>
        </w:rPr>
        <w:t xml:space="preserve"> </w:t>
      </w:r>
      <w:r w:rsidR="002A0C3B" w:rsidRPr="002A0C3B">
        <w:rPr>
          <w:sz w:val="26"/>
          <w:szCs w:val="26"/>
        </w:rPr>
        <w:t xml:space="preserve">The customer will still be responsible for contacting </w:t>
      </w:r>
      <w:r>
        <w:rPr>
          <w:sz w:val="26"/>
          <w:szCs w:val="26"/>
        </w:rPr>
        <w:t>Duquesne</w:t>
      </w:r>
      <w:r w:rsidR="002A0C3B" w:rsidRPr="002A0C3B">
        <w:rPr>
          <w:sz w:val="26"/>
          <w:szCs w:val="26"/>
        </w:rPr>
        <w:t xml:space="preserve"> and satisfying all requirements to start service at the new location, and then contacting the supplier to initiate </w:t>
      </w:r>
      <w:r w:rsidR="00EC2040">
        <w:rPr>
          <w:sz w:val="26"/>
          <w:szCs w:val="26"/>
        </w:rPr>
        <w:t xml:space="preserve">supply </w:t>
      </w:r>
      <w:r w:rsidR="002A0C3B" w:rsidRPr="002A0C3B">
        <w:rPr>
          <w:sz w:val="26"/>
          <w:szCs w:val="26"/>
        </w:rPr>
        <w:t xml:space="preserve">service. </w:t>
      </w:r>
      <w:r w:rsidR="00EC2040">
        <w:rPr>
          <w:sz w:val="26"/>
          <w:szCs w:val="26"/>
        </w:rPr>
        <w:t xml:space="preserve"> </w:t>
      </w:r>
      <w:r w:rsidR="002A0C3B" w:rsidRPr="002A0C3B">
        <w:rPr>
          <w:sz w:val="26"/>
          <w:szCs w:val="26"/>
        </w:rPr>
        <w:t>The supplier will</w:t>
      </w:r>
      <w:r>
        <w:rPr>
          <w:sz w:val="26"/>
          <w:szCs w:val="26"/>
        </w:rPr>
        <w:t xml:space="preserve"> </w:t>
      </w:r>
      <w:r w:rsidR="002A0C3B" w:rsidRPr="002A0C3B">
        <w:rPr>
          <w:sz w:val="26"/>
          <w:szCs w:val="26"/>
        </w:rPr>
        <w:t xml:space="preserve">still be responsible for submitting the enrollment request. </w:t>
      </w:r>
      <w:r w:rsidR="00EC2040">
        <w:rPr>
          <w:sz w:val="26"/>
          <w:szCs w:val="26"/>
        </w:rPr>
        <w:t xml:space="preserve"> </w:t>
      </w:r>
      <w:r w:rsidR="002A0C3B" w:rsidRPr="002A0C3B">
        <w:rPr>
          <w:sz w:val="26"/>
          <w:szCs w:val="26"/>
        </w:rPr>
        <w:t xml:space="preserve">The final component of this transaction will be </w:t>
      </w:r>
      <w:r w:rsidR="002A0C3B" w:rsidRPr="002A0C3B">
        <w:rPr>
          <w:sz w:val="26"/>
          <w:szCs w:val="26"/>
        </w:rPr>
        <w:lastRenderedPageBreak/>
        <w:t xml:space="preserve">to establish an estimated start date. </w:t>
      </w:r>
      <w:r w:rsidR="00EC2040">
        <w:rPr>
          <w:sz w:val="26"/>
          <w:szCs w:val="26"/>
        </w:rPr>
        <w:t xml:space="preserve"> </w:t>
      </w:r>
      <w:r w:rsidR="002A0C3B" w:rsidRPr="002A0C3B">
        <w:rPr>
          <w:sz w:val="26"/>
          <w:szCs w:val="26"/>
        </w:rPr>
        <w:t>All of this information will be</w:t>
      </w:r>
      <w:r>
        <w:rPr>
          <w:sz w:val="26"/>
          <w:szCs w:val="26"/>
        </w:rPr>
        <w:t xml:space="preserve"> </w:t>
      </w:r>
      <w:r w:rsidR="002A0C3B" w:rsidRPr="002A0C3B">
        <w:rPr>
          <w:sz w:val="26"/>
          <w:szCs w:val="26"/>
        </w:rPr>
        <w:t>communicated via the enrollment response sent back to the EGS from Duquesne.</w:t>
      </w:r>
    </w:p>
    <w:p w:rsidR="00AA3553" w:rsidRDefault="00AA3553" w:rsidP="00AA3553">
      <w:pPr>
        <w:spacing w:line="276" w:lineRule="auto"/>
        <w:ind w:left="720"/>
        <w:rPr>
          <w:sz w:val="26"/>
          <w:szCs w:val="26"/>
        </w:rPr>
      </w:pPr>
    </w:p>
    <w:p w:rsidR="002A0C3B" w:rsidRDefault="00852E36" w:rsidP="00AA3553">
      <w:pPr>
        <w:spacing w:line="276" w:lineRule="auto"/>
        <w:ind w:left="720"/>
        <w:rPr>
          <w:sz w:val="26"/>
          <w:szCs w:val="26"/>
        </w:rPr>
      </w:pPr>
      <w:r>
        <w:rPr>
          <w:sz w:val="26"/>
          <w:szCs w:val="26"/>
        </w:rPr>
        <w:t>-  T</w:t>
      </w:r>
      <w:r w:rsidR="002A0C3B" w:rsidRPr="002A0C3B">
        <w:rPr>
          <w:sz w:val="26"/>
          <w:szCs w:val="26"/>
        </w:rPr>
        <w:t xml:space="preserve">he EGS must submit a drop request via EDI if </w:t>
      </w:r>
      <w:r w:rsidR="00DD3016">
        <w:rPr>
          <w:sz w:val="26"/>
          <w:szCs w:val="26"/>
        </w:rPr>
        <w:t>it</w:t>
      </w:r>
      <w:r w:rsidR="00DD3016" w:rsidRPr="002A0C3B">
        <w:rPr>
          <w:sz w:val="26"/>
          <w:szCs w:val="26"/>
        </w:rPr>
        <w:t xml:space="preserve"> </w:t>
      </w:r>
      <w:r w:rsidR="002A0C3B" w:rsidRPr="002A0C3B">
        <w:rPr>
          <w:sz w:val="26"/>
          <w:szCs w:val="26"/>
        </w:rPr>
        <w:t>do</w:t>
      </w:r>
      <w:r w:rsidR="00DD3016">
        <w:rPr>
          <w:sz w:val="26"/>
          <w:szCs w:val="26"/>
        </w:rPr>
        <w:t>es</w:t>
      </w:r>
      <w:r w:rsidR="002A0C3B" w:rsidRPr="002A0C3B">
        <w:rPr>
          <w:sz w:val="26"/>
          <w:szCs w:val="26"/>
        </w:rPr>
        <w:t xml:space="preserve"> not wish to supply service to the customer. </w:t>
      </w:r>
      <w:r w:rsidR="00EC2040">
        <w:rPr>
          <w:sz w:val="26"/>
          <w:szCs w:val="26"/>
        </w:rPr>
        <w:t xml:space="preserve"> </w:t>
      </w:r>
      <w:r w:rsidR="002A0C3B" w:rsidRPr="002A0C3B">
        <w:rPr>
          <w:sz w:val="26"/>
          <w:szCs w:val="26"/>
        </w:rPr>
        <w:t xml:space="preserve">However, the supplier </w:t>
      </w:r>
      <w:r w:rsidR="00DD3016">
        <w:rPr>
          <w:sz w:val="26"/>
          <w:szCs w:val="26"/>
        </w:rPr>
        <w:t>must</w:t>
      </w:r>
      <w:r w:rsidR="002A0C3B" w:rsidRPr="002A0C3B">
        <w:rPr>
          <w:sz w:val="26"/>
          <w:szCs w:val="26"/>
        </w:rPr>
        <w:t xml:space="preserve"> maintain supply service to this customer until a </w:t>
      </w:r>
      <w:r w:rsidR="00DD3016">
        <w:rPr>
          <w:sz w:val="26"/>
          <w:szCs w:val="26"/>
        </w:rPr>
        <w:t>three</w:t>
      </w:r>
      <w:r w:rsidR="002A0C3B" w:rsidRPr="002A0C3B">
        <w:rPr>
          <w:sz w:val="26"/>
          <w:szCs w:val="26"/>
        </w:rPr>
        <w:t xml:space="preserve">-business day switch can occur under </w:t>
      </w:r>
      <w:r>
        <w:rPr>
          <w:sz w:val="26"/>
          <w:szCs w:val="26"/>
        </w:rPr>
        <w:t xml:space="preserve">Duquesne’s </w:t>
      </w:r>
      <w:r w:rsidR="002A0C3B" w:rsidRPr="002A0C3B">
        <w:rPr>
          <w:sz w:val="26"/>
          <w:szCs w:val="26"/>
        </w:rPr>
        <w:t>switching rules</w:t>
      </w:r>
      <w:r>
        <w:rPr>
          <w:sz w:val="26"/>
          <w:szCs w:val="26"/>
        </w:rPr>
        <w:t xml:space="preserve">.   </w:t>
      </w:r>
      <w:r w:rsidR="002A0C3B" w:rsidRPr="002A0C3B">
        <w:rPr>
          <w:sz w:val="26"/>
          <w:szCs w:val="26"/>
        </w:rPr>
        <w:t xml:space="preserve"> </w:t>
      </w:r>
    </w:p>
    <w:p w:rsidR="00AA3553" w:rsidRPr="002A0C3B" w:rsidRDefault="00AA3553" w:rsidP="00AA3553">
      <w:pPr>
        <w:spacing w:line="276" w:lineRule="auto"/>
        <w:ind w:left="720"/>
        <w:rPr>
          <w:sz w:val="26"/>
          <w:szCs w:val="26"/>
        </w:rPr>
      </w:pPr>
    </w:p>
    <w:p w:rsidR="00AA3553" w:rsidRDefault="00AA3553" w:rsidP="00AA3553">
      <w:pPr>
        <w:spacing w:line="276" w:lineRule="auto"/>
        <w:ind w:left="720"/>
        <w:rPr>
          <w:sz w:val="26"/>
          <w:szCs w:val="26"/>
        </w:rPr>
      </w:pPr>
      <w:r>
        <w:rPr>
          <w:sz w:val="26"/>
          <w:szCs w:val="26"/>
        </w:rPr>
        <w:t xml:space="preserve">-  </w:t>
      </w:r>
      <w:r w:rsidR="00EC2040">
        <w:rPr>
          <w:sz w:val="26"/>
          <w:szCs w:val="26"/>
        </w:rPr>
        <w:t>N</w:t>
      </w:r>
      <w:r w:rsidR="002A0C3B" w:rsidRPr="002A0C3B">
        <w:rPr>
          <w:sz w:val="26"/>
          <w:szCs w:val="26"/>
        </w:rPr>
        <w:t>o new EDI transactions will need to be created in order to implement instant</w:t>
      </w:r>
      <w:r>
        <w:rPr>
          <w:sz w:val="26"/>
          <w:szCs w:val="26"/>
        </w:rPr>
        <w:t xml:space="preserve"> </w:t>
      </w:r>
      <w:r w:rsidR="002A0C3B" w:rsidRPr="002A0C3B">
        <w:rPr>
          <w:sz w:val="26"/>
          <w:szCs w:val="26"/>
        </w:rPr>
        <w:t xml:space="preserve">connects. </w:t>
      </w:r>
    </w:p>
    <w:p w:rsidR="00AA3553" w:rsidRDefault="00AA3553" w:rsidP="00AA3553">
      <w:pPr>
        <w:ind w:left="720"/>
        <w:rPr>
          <w:sz w:val="26"/>
          <w:szCs w:val="26"/>
        </w:rPr>
      </w:pPr>
    </w:p>
    <w:p w:rsidR="002A0C3B" w:rsidRDefault="00AA3553" w:rsidP="00105EA4">
      <w:pPr>
        <w:spacing w:line="360" w:lineRule="auto"/>
        <w:ind w:firstLine="720"/>
        <w:rPr>
          <w:sz w:val="26"/>
          <w:szCs w:val="26"/>
        </w:rPr>
      </w:pPr>
      <w:r>
        <w:rPr>
          <w:sz w:val="26"/>
          <w:szCs w:val="26"/>
        </w:rPr>
        <w:t>Duquesne</w:t>
      </w:r>
      <w:r w:rsidR="00EC2040">
        <w:rPr>
          <w:sz w:val="26"/>
          <w:szCs w:val="26"/>
        </w:rPr>
        <w:t>’s plan to meet the July 1, 2016 deadline is outlined in the following table</w:t>
      </w:r>
      <w:r w:rsidR="001D0D4D">
        <w:rPr>
          <w:sz w:val="26"/>
          <w:szCs w:val="26"/>
        </w:rPr>
        <w:t>:</w:t>
      </w:r>
      <w:r w:rsidR="002A0C3B" w:rsidRPr="002A0C3B">
        <w:rPr>
          <w:sz w:val="26"/>
          <w:szCs w:val="26"/>
        </w:rPr>
        <w:t xml:space="preserve"> </w:t>
      </w:r>
    </w:p>
    <w:p w:rsidR="00AA3553" w:rsidRDefault="00AA3553" w:rsidP="002A0C3B">
      <w:pPr>
        <w:rPr>
          <w:sz w:val="26"/>
          <w:szCs w:val="26"/>
        </w:rPr>
      </w:pPr>
    </w:p>
    <w:tbl>
      <w:tblPr>
        <w:tblW w:w="0" w:type="auto"/>
        <w:tblInd w:w="168" w:type="dxa"/>
        <w:tblLayout w:type="fixed"/>
        <w:tblCellMar>
          <w:left w:w="0" w:type="dxa"/>
          <w:right w:w="0" w:type="dxa"/>
        </w:tblCellMar>
        <w:tblLook w:val="04A0" w:firstRow="1" w:lastRow="0" w:firstColumn="1" w:lastColumn="0" w:noHBand="0" w:noVBand="1"/>
      </w:tblPr>
      <w:tblGrid>
        <w:gridCol w:w="3509"/>
        <w:gridCol w:w="955"/>
        <w:gridCol w:w="960"/>
        <w:gridCol w:w="965"/>
        <w:gridCol w:w="965"/>
        <w:gridCol w:w="955"/>
        <w:gridCol w:w="979"/>
      </w:tblGrid>
      <w:tr w:rsidR="00AA3553" w:rsidTr="007114C3">
        <w:trPr>
          <w:trHeight w:hRule="exact" w:val="677"/>
        </w:trPr>
        <w:tc>
          <w:tcPr>
            <w:tcW w:w="3509" w:type="dxa"/>
            <w:tcBorders>
              <w:top w:val="single" w:sz="5" w:space="0" w:color="000000"/>
              <w:left w:val="single" w:sz="5" w:space="0" w:color="000000"/>
              <w:bottom w:val="single" w:sz="5" w:space="0" w:color="000000"/>
              <w:right w:val="single" w:sz="5" w:space="0" w:color="000000"/>
            </w:tcBorders>
            <w:vAlign w:val="bottom"/>
          </w:tcPr>
          <w:p w:rsidR="00AA3553" w:rsidRDefault="00AA3553" w:rsidP="007114C3">
            <w:pPr>
              <w:spacing w:before="374" w:after="26" w:line="267" w:lineRule="exact"/>
              <w:ind w:left="115"/>
              <w:textAlignment w:val="baseline"/>
              <w:rPr>
                <w:rFonts w:ascii="Tahoma" w:eastAsia="Tahoma" w:hAnsi="Tahoma"/>
                <w:color w:val="000000"/>
                <w:sz w:val="20"/>
              </w:rPr>
            </w:pPr>
            <w:r>
              <w:rPr>
                <w:rFonts w:ascii="Tahoma" w:eastAsia="Tahoma" w:hAnsi="Tahoma"/>
                <w:color w:val="000000"/>
                <w:sz w:val="20"/>
              </w:rPr>
              <w:t>WORK PLAN PHASES</w:t>
            </w:r>
          </w:p>
        </w:tc>
        <w:tc>
          <w:tcPr>
            <w:tcW w:w="3845" w:type="dxa"/>
            <w:gridSpan w:val="4"/>
            <w:tcBorders>
              <w:top w:val="single" w:sz="5" w:space="0" w:color="000000"/>
              <w:left w:val="single" w:sz="5" w:space="0" w:color="000000"/>
              <w:bottom w:val="single" w:sz="5" w:space="0" w:color="000000"/>
              <w:right w:val="single" w:sz="5" w:space="0" w:color="000000"/>
            </w:tcBorders>
            <w:vAlign w:val="bottom"/>
          </w:tcPr>
          <w:p w:rsidR="00AA3553" w:rsidRDefault="00AA3553" w:rsidP="007114C3">
            <w:pPr>
              <w:spacing w:before="362" w:after="38" w:line="267" w:lineRule="exact"/>
              <w:ind w:right="1586"/>
              <w:jc w:val="right"/>
              <w:textAlignment w:val="baseline"/>
              <w:rPr>
                <w:rFonts w:ascii="Tahoma" w:eastAsia="Tahoma" w:hAnsi="Tahoma"/>
                <w:color w:val="000000"/>
                <w:sz w:val="20"/>
              </w:rPr>
            </w:pPr>
            <w:r>
              <w:rPr>
                <w:rFonts w:ascii="Tahoma" w:eastAsia="Tahoma" w:hAnsi="Tahoma"/>
                <w:color w:val="000000"/>
                <w:sz w:val="20"/>
              </w:rPr>
              <w:t>2015</w:t>
            </w:r>
          </w:p>
        </w:tc>
        <w:tc>
          <w:tcPr>
            <w:tcW w:w="1934" w:type="dxa"/>
            <w:gridSpan w:val="2"/>
            <w:tcBorders>
              <w:top w:val="single" w:sz="5" w:space="0" w:color="000000"/>
              <w:left w:val="single" w:sz="5" w:space="0" w:color="000000"/>
              <w:bottom w:val="single" w:sz="5" w:space="0" w:color="000000"/>
              <w:right w:val="single" w:sz="5" w:space="0" w:color="000000"/>
            </w:tcBorders>
            <w:vAlign w:val="bottom"/>
          </w:tcPr>
          <w:p w:rsidR="00AA3553" w:rsidRDefault="00AA3553" w:rsidP="007114C3">
            <w:pPr>
              <w:spacing w:before="360" w:after="40" w:line="267" w:lineRule="exact"/>
              <w:ind w:right="668"/>
              <w:jc w:val="right"/>
              <w:textAlignment w:val="baseline"/>
              <w:rPr>
                <w:rFonts w:ascii="Tahoma" w:eastAsia="Tahoma" w:hAnsi="Tahoma"/>
                <w:color w:val="000000"/>
                <w:sz w:val="20"/>
              </w:rPr>
            </w:pPr>
            <w:r>
              <w:rPr>
                <w:rFonts w:ascii="Tahoma" w:eastAsia="Tahoma" w:hAnsi="Tahoma"/>
                <w:color w:val="000000"/>
                <w:sz w:val="20"/>
              </w:rPr>
              <w:t>2016</w:t>
            </w:r>
          </w:p>
        </w:tc>
      </w:tr>
      <w:tr w:rsidR="00AA3553" w:rsidTr="00D54FAE">
        <w:trPr>
          <w:trHeight w:hRule="exact" w:val="307"/>
        </w:trPr>
        <w:tc>
          <w:tcPr>
            <w:tcW w:w="3509"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AA3553" w:rsidRDefault="00D54FAE" w:rsidP="007114C3">
            <w:pPr>
              <w:spacing w:after="20" w:line="267" w:lineRule="exact"/>
              <w:ind w:right="596"/>
              <w:jc w:val="right"/>
              <w:textAlignment w:val="baseline"/>
              <w:rPr>
                <w:rFonts w:ascii="Tahoma" w:eastAsia="Tahoma" w:hAnsi="Tahoma"/>
                <w:color w:val="000000"/>
                <w:sz w:val="20"/>
              </w:rPr>
            </w:pPr>
            <w:r>
              <w:rPr>
                <w:rFonts w:ascii="Tahoma" w:eastAsia="Tahoma" w:hAnsi="Tahoma"/>
                <w:color w:val="000000"/>
                <w:sz w:val="20"/>
              </w:rPr>
              <w:t>Q</w:t>
            </w:r>
            <w:r w:rsidR="00AA3553">
              <w:rPr>
                <w:rFonts w:ascii="Tahoma" w:eastAsia="Tahoma" w:hAnsi="Tahoma"/>
                <w:color w:val="000000"/>
                <w:sz w:val="20"/>
              </w:rPr>
              <w:t>1</w:t>
            </w:r>
          </w:p>
        </w:tc>
        <w:tc>
          <w:tcPr>
            <w:tcW w:w="960"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0" w:line="267" w:lineRule="exact"/>
              <w:ind w:right="582"/>
              <w:jc w:val="right"/>
              <w:textAlignment w:val="baseline"/>
              <w:rPr>
                <w:rFonts w:ascii="Tahoma" w:eastAsia="Tahoma" w:hAnsi="Tahoma"/>
                <w:color w:val="000000"/>
                <w:sz w:val="20"/>
              </w:rPr>
            </w:pPr>
            <w:r>
              <w:rPr>
                <w:rFonts w:ascii="Tahoma" w:eastAsia="Tahoma" w:hAnsi="Tahoma"/>
                <w:color w:val="000000"/>
                <w:sz w:val="20"/>
              </w:rPr>
              <w:t>Q2</w:t>
            </w: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D54FAE">
            <w:pPr>
              <w:spacing w:before="48" w:after="6" w:line="252" w:lineRule="exact"/>
              <w:ind w:right="587"/>
              <w:jc w:val="center"/>
              <w:textAlignment w:val="baseline"/>
              <w:rPr>
                <w:rFonts w:ascii="Tahoma" w:eastAsia="Tahoma" w:hAnsi="Tahoma"/>
                <w:color w:val="000000"/>
                <w:sz w:val="20"/>
              </w:rPr>
            </w:pPr>
            <w:r>
              <w:rPr>
                <w:rFonts w:ascii="Tahoma" w:eastAsia="Tahoma" w:hAnsi="Tahoma"/>
                <w:color w:val="000000"/>
                <w:sz w:val="20"/>
              </w:rPr>
              <w:t>Q3</w:t>
            </w:r>
          </w:p>
        </w:tc>
        <w:tc>
          <w:tcPr>
            <w:tcW w:w="965"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5" w:line="267" w:lineRule="exact"/>
              <w:ind w:right="588"/>
              <w:jc w:val="right"/>
              <w:textAlignment w:val="baseline"/>
              <w:rPr>
                <w:rFonts w:ascii="Tahoma" w:eastAsia="Tahoma" w:hAnsi="Tahoma"/>
                <w:color w:val="000000"/>
                <w:sz w:val="20"/>
              </w:rPr>
            </w:pPr>
            <w:r>
              <w:rPr>
                <w:rFonts w:ascii="Tahoma" w:eastAsia="Tahoma" w:hAnsi="Tahoma"/>
                <w:color w:val="000000"/>
                <w:sz w:val="20"/>
              </w:rPr>
              <w:t>Q4</w:t>
            </w:r>
          </w:p>
        </w:tc>
        <w:tc>
          <w:tcPr>
            <w:tcW w:w="955" w:type="dxa"/>
            <w:tcBorders>
              <w:top w:val="single" w:sz="5" w:space="0" w:color="000000"/>
              <w:left w:val="single" w:sz="5" w:space="0" w:color="000000"/>
              <w:bottom w:val="single" w:sz="5" w:space="0" w:color="000000"/>
              <w:right w:val="single" w:sz="5" w:space="0" w:color="000000"/>
            </w:tcBorders>
            <w:vAlign w:val="center"/>
          </w:tcPr>
          <w:p w:rsidR="00AA3553" w:rsidRDefault="00D54FAE" w:rsidP="007114C3">
            <w:pPr>
              <w:spacing w:after="20" w:line="267" w:lineRule="exact"/>
              <w:ind w:right="578"/>
              <w:jc w:val="right"/>
              <w:textAlignment w:val="baseline"/>
              <w:rPr>
                <w:rFonts w:ascii="Tahoma" w:eastAsia="Tahoma" w:hAnsi="Tahoma"/>
                <w:color w:val="000000"/>
                <w:sz w:val="20"/>
              </w:rPr>
            </w:pPr>
            <w:r>
              <w:rPr>
                <w:rFonts w:ascii="Tahoma" w:eastAsia="Tahoma" w:hAnsi="Tahoma"/>
                <w:color w:val="000000"/>
                <w:sz w:val="20"/>
              </w:rPr>
              <w:t>Q</w:t>
            </w:r>
            <w:r w:rsidR="00AA3553">
              <w:rPr>
                <w:rFonts w:ascii="Tahoma" w:eastAsia="Tahoma" w:hAnsi="Tahoma"/>
                <w:color w:val="000000"/>
                <w:sz w:val="20"/>
              </w:rPr>
              <w:t>1</w:t>
            </w:r>
          </w:p>
        </w:tc>
        <w:tc>
          <w:tcPr>
            <w:tcW w:w="97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34" w:line="267" w:lineRule="exact"/>
              <w:ind w:right="606"/>
              <w:jc w:val="right"/>
              <w:textAlignment w:val="baseline"/>
              <w:rPr>
                <w:rFonts w:ascii="Tahoma" w:eastAsia="Tahoma" w:hAnsi="Tahoma"/>
                <w:color w:val="000000"/>
                <w:sz w:val="20"/>
              </w:rPr>
            </w:pPr>
            <w:r>
              <w:rPr>
                <w:rFonts w:ascii="Tahoma" w:eastAsia="Tahoma" w:hAnsi="Tahoma"/>
                <w:color w:val="000000"/>
                <w:sz w:val="20"/>
              </w:rPr>
              <w:t>Q2</w:t>
            </w:r>
          </w:p>
        </w:tc>
      </w:tr>
      <w:tr w:rsidR="00AA3553" w:rsidTr="007114C3">
        <w:trPr>
          <w:trHeight w:hRule="exact" w:val="312"/>
        </w:trPr>
        <w:tc>
          <w:tcPr>
            <w:tcW w:w="350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10" w:line="267" w:lineRule="exact"/>
              <w:ind w:left="115"/>
              <w:textAlignment w:val="baseline"/>
              <w:rPr>
                <w:rFonts w:ascii="Tahoma" w:eastAsia="Tahoma" w:hAnsi="Tahoma"/>
                <w:color w:val="000000"/>
                <w:sz w:val="20"/>
              </w:rPr>
            </w:pPr>
            <w:r>
              <w:rPr>
                <w:rFonts w:ascii="Tahoma" w:eastAsia="Tahoma" w:hAnsi="Tahoma"/>
                <w:color w:val="000000"/>
                <w:sz w:val="20"/>
              </w:rPr>
              <w:t>ANALYSIS PHASE</w:t>
            </w: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0"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16" w:line="267" w:lineRule="exact"/>
              <w:ind w:right="312"/>
              <w:jc w:val="right"/>
              <w:textAlignment w:val="baseline"/>
              <w:rPr>
                <w:rFonts w:ascii="Tahoma" w:eastAsia="Tahoma" w:hAnsi="Tahoma"/>
                <w:color w:val="000000"/>
                <w:sz w:val="20"/>
              </w:rPr>
            </w:pPr>
            <w:r>
              <w:rPr>
                <w:rFonts w:ascii="Tahoma" w:eastAsia="Tahoma" w:hAnsi="Tahoma"/>
                <w:color w:val="000000"/>
                <w:sz w:val="20"/>
              </w:rPr>
              <w:t>XXX</w:t>
            </w: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79"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r>
      <w:tr w:rsidR="00AA3553" w:rsidTr="007114C3">
        <w:trPr>
          <w:trHeight w:hRule="exact" w:val="312"/>
        </w:trPr>
        <w:tc>
          <w:tcPr>
            <w:tcW w:w="350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19" w:line="267" w:lineRule="exact"/>
              <w:ind w:left="115"/>
              <w:textAlignment w:val="baseline"/>
              <w:rPr>
                <w:rFonts w:ascii="Tahoma" w:eastAsia="Tahoma" w:hAnsi="Tahoma"/>
                <w:color w:val="000000"/>
                <w:sz w:val="20"/>
              </w:rPr>
            </w:pPr>
            <w:r>
              <w:rPr>
                <w:rFonts w:ascii="Tahoma" w:eastAsia="Tahoma" w:hAnsi="Tahoma"/>
                <w:color w:val="000000"/>
                <w:sz w:val="20"/>
              </w:rPr>
              <w:t>DESIGN PHASE</w:t>
            </w: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0"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5" w:line="267" w:lineRule="exact"/>
              <w:ind w:right="317"/>
              <w:jc w:val="right"/>
              <w:textAlignment w:val="baseline"/>
              <w:rPr>
                <w:rFonts w:ascii="Tahoma" w:eastAsia="Tahoma" w:hAnsi="Tahoma"/>
                <w:color w:val="000000"/>
                <w:sz w:val="20"/>
              </w:rPr>
            </w:pPr>
            <w:r>
              <w:rPr>
                <w:rFonts w:ascii="Tahoma" w:eastAsia="Tahoma" w:hAnsi="Tahoma"/>
                <w:color w:val="000000"/>
                <w:sz w:val="20"/>
              </w:rPr>
              <w:t>XXX</w:t>
            </w: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79"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r>
      <w:tr w:rsidR="00AA3553" w:rsidTr="007114C3">
        <w:trPr>
          <w:trHeight w:hRule="exact" w:val="302"/>
        </w:trPr>
        <w:tc>
          <w:tcPr>
            <w:tcW w:w="350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14" w:line="268" w:lineRule="exact"/>
              <w:ind w:left="115"/>
              <w:textAlignment w:val="baseline"/>
              <w:rPr>
                <w:rFonts w:ascii="Tahoma" w:eastAsia="Tahoma" w:hAnsi="Tahoma"/>
                <w:color w:val="000000"/>
                <w:sz w:val="20"/>
              </w:rPr>
            </w:pPr>
            <w:r>
              <w:rPr>
                <w:rFonts w:ascii="Tahoma" w:eastAsia="Tahoma" w:hAnsi="Tahoma"/>
                <w:color w:val="000000"/>
                <w:sz w:val="20"/>
              </w:rPr>
              <w:t>DEVELOPMENT/BUILD PHASE</w:t>
            </w: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0"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0" w:line="267" w:lineRule="exact"/>
              <w:ind w:right="318"/>
              <w:jc w:val="right"/>
              <w:textAlignment w:val="baseline"/>
              <w:rPr>
                <w:rFonts w:ascii="Tahoma" w:eastAsia="Tahoma" w:hAnsi="Tahoma"/>
                <w:color w:val="000000"/>
                <w:sz w:val="20"/>
              </w:rPr>
            </w:pPr>
            <w:r>
              <w:rPr>
                <w:rFonts w:ascii="Tahoma" w:eastAsia="Tahoma" w:hAnsi="Tahoma"/>
                <w:color w:val="000000"/>
                <w:sz w:val="20"/>
              </w:rPr>
              <w:t>XXX</w:t>
            </w:r>
          </w:p>
        </w:tc>
        <w:tc>
          <w:tcPr>
            <w:tcW w:w="955"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0" w:line="267" w:lineRule="exact"/>
              <w:ind w:right="308"/>
              <w:jc w:val="right"/>
              <w:textAlignment w:val="baseline"/>
              <w:rPr>
                <w:rFonts w:ascii="Tahoma" w:eastAsia="Tahoma" w:hAnsi="Tahoma"/>
                <w:color w:val="000000"/>
                <w:sz w:val="20"/>
              </w:rPr>
            </w:pPr>
            <w:r>
              <w:rPr>
                <w:rFonts w:ascii="Tahoma" w:eastAsia="Tahoma" w:hAnsi="Tahoma"/>
                <w:color w:val="000000"/>
                <w:sz w:val="20"/>
              </w:rPr>
              <w:t>XXX</w:t>
            </w:r>
          </w:p>
        </w:tc>
        <w:tc>
          <w:tcPr>
            <w:tcW w:w="979"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r>
      <w:tr w:rsidR="00AA3553" w:rsidTr="007114C3">
        <w:trPr>
          <w:trHeight w:hRule="exact" w:val="308"/>
        </w:trPr>
        <w:tc>
          <w:tcPr>
            <w:tcW w:w="350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0" w:line="267" w:lineRule="exact"/>
              <w:ind w:left="115"/>
              <w:textAlignment w:val="baseline"/>
              <w:rPr>
                <w:rFonts w:ascii="Tahoma" w:eastAsia="Tahoma" w:hAnsi="Tahoma"/>
                <w:color w:val="000000"/>
                <w:sz w:val="20"/>
              </w:rPr>
            </w:pPr>
            <w:r>
              <w:rPr>
                <w:rFonts w:ascii="Tahoma" w:eastAsia="Tahoma" w:hAnsi="Tahoma"/>
                <w:color w:val="000000"/>
                <w:sz w:val="20"/>
              </w:rPr>
              <w:t>TEST PHASE</w:t>
            </w: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0"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0" w:line="267" w:lineRule="exact"/>
              <w:ind w:right="308"/>
              <w:jc w:val="right"/>
              <w:textAlignment w:val="baseline"/>
              <w:rPr>
                <w:rFonts w:ascii="Tahoma" w:eastAsia="Tahoma" w:hAnsi="Tahoma"/>
                <w:color w:val="000000"/>
                <w:sz w:val="20"/>
              </w:rPr>
            </w:pPr>
            <w:r>
              <w:rPr>
                <w:rFonts w:ascii="Tahoma" w:eastAsia="Tahoma" w:hAnsi="Tahoma"/>
                <w:color w:val="000000"/>
                <w:sz w:val="20"/>
              </w:rPr>
              <w:t>XXX</w:t>
            </w:r>
          </w:p>
        </w:tc>
        <w:tc>
          <w:tcPr>
            <w:tcW w:w="97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5" w:line="267" w:lineRule="exact"/>
              <w:ind w:right="336"/>
              <w:jc w:val="right"/>
              <w:textAlignment w:val="baseline"/>
              <w:rPr>
                <w:rFonts w:ascii="Tahoma" w:eastAsia="Tahoma" w:hAnsi="Tahoma"/>
                <w:color w:val="000000"/>
                <w:sz w:val="20"/>
              </w:rPr>
            </w:pPr>
            <w:r>
              <w:rPr>
                <w:rFonts w:ascii="Tahoma" w:eastAsia="Tahoma" w:hAnsi="Tahoma"/>
                <w:color w:val="000000"/>
                <w:sz w:val="20"/>
              </w:rPr>
              <w:t>XXX</w:t>
            </w:r>
          </w:p>
        </w:tc>
      </w:tr>
      <w:tr w:rsidR="00AA3553" w:rsidTr="007114C3">
        <w:trPr>
          <w:trHeight w:hRule="exact" w:val="321"/>
        </w:trPr>
        <w:tc>
          <w:tcPr>
            <w:tcW w:w="350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29" w:line="272" w:lineRule="exact"/>
              <w:ind w:left="115"/>
              <w:textAlignment w:val="baseline"/>
              <w:rPr>
                <w:rFonts w:ascii="Tahoma" w:eastAsia="Tahoma" w:hAnsi="Tahoma"/>
                <w:color w:val="000000"/>
                <w:sz w:val="20"/>
              </w:rPr>
            </w:pPr>
            <w:r>
              <w:rPr>
                <w:rFonts w:ascii="Tahoma" w:eastAsia="Tahoma" w:hAnsi="Tahoma"/>
                <w:color w:val="000000"/>
                <w:sz w:val="20"/>
              </w:rPr>
              <w:t>DEPLOY — No later than July 1, 2016</w:t>
            </w: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0"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6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55" w:type="dxa"/>
            <w:tcBorders>
              <w:top w:val="single" w:sz="5" w:space="0" w:color="000000"/>
              <w:left w:val="single" w:sz="5" w:space="0" w:color="000000"/>
              <w:bottom w:val="single" w:sz="5" w:space="0" w:color="000000"/>
              <w:right w:val="single" w:sz="5" w:space="0" w:color="000000"/>
            </w:tcBorders>
          </w:tcPr>
          <w:p w:rsidR="00AA3553" w:rsidRDefault="00AA3553" w:rsidP="007114C3">
            <w:pPr>
              <w:textAlignment w:val="baseline"/>
              <w:rPr>
                <w:rFonts w:ascii="Bookman Old Style" w:eastAsia="Bookman Old Style" w:hAnsi="Bookman Old Style"/>
                <w:color w:val="000000"/>
              </w:rPr>
            </w:pPr>
          </w:p>
        </w:tc>
        <w:tc>
          <w:tcPr>
            <w:tcW w:w="979" w:type="dxa"/>
            <w:tcBorders>
              <w:top w:val="single" w:sz="5" w:space="0" w:color="000000"/>
              <w:left w:val="single" w:sz="5" w:space="0" w:color="000000"/>
              <w:bottom w:val="single" w:sz="5" w:space="0" w:color="000000"/>
              <w:right w:val="single" w:sz="5" w:space="0" w:color="000000"/>
            </w:tcBorders>
            <w:vAlign w:val="center"/>
          </w:tcPr>
          <w:p w:rsidR="00AA3553" w:rsidRDefault="00AA3553" w:rsidP="007114C3">
            <w:pPr>
              <w:spacing w:after="45" w:line="267" w:lineRule="exact"/>
              <w:ind w:right="336"/>
              <w:jc w:val="right"/>
              <w:textAlignment w:val="baseline"/>
              <w:rPr>
                <w:rFonts w:ascii="Tahoma" w:eastAsia="Tahoma" w:hAnsi="Tahoma"/>
                <w:color w:val="000000"/>
                <w:sz w:val="20"/>
              </w:rPr>
            </w:pPr>
            <w:r>
              <w:rPr>
                <w:rFonts w:ascii="Tahoma" w:eastAsia="Tahoma" w:hAnsi="Tahoma"/>
                <w:color w:val="000000"/>
                <w:sz w:val="20"/>
              </w:rPr>
              <w:t>XXX</w:t>
            </w:r>
          </w:p>
        </w:tc>
      </w:tr>
    </w:tbl>
    <w:p w:rsidR="00F0470C" w:rsidRDefault="00F0470C" w:rsidP="002A0C3B">
      <w:pPr>
        <w:rPr>
          <w:sz w:val="26"/>
          <w:szCs w:val="26"/>
        </w:rPr>
      </w:pPr>
    </w:p>
    <w:p w:rsidR="00F0470C" w:rsidRDefault="00F0470C" w:rsidP="00F0470C">
      <w:pPr>
        <w:spacing w:line="360" w:lineRule="auto"/>
        <w:ind w:firstLine="720"/>
        <w:rPr>
          <w:sz w:val="26"/>
          <w:szCs w:val="26"/>
        </w:rPr>
      </w:pPr>
      <w:r>
        <w:rPr>
          <w:sz w:val="26"/>
          <w:szCs w:val="26"/>
        </w:rPr>
        <w:t xml:space="preserve">Duquesne notes that these timeframes may have to be revised if there is a delay in obtaining Commission approval of its plan or if the Commission orders significant modifications to its plan.  </w:t>
      </w:r>
    </w:p>
    <w:p w:rsidR="004551AD" w:rsidRDefault="004551AD" w:rsidP="00F0470C">
      <w:pPr>
        <w:spacing w:line="360" w:lineRule="auto"/>
        <w:ind w:firstLine="720"/>
        <w:rPr>
          <w:sz w:val="26"/>
          <w:szCs w:val="26"/>
        </w:rPr>
      </w:pPr>
    </w:p>
    <w:p w:rsidR="004551AD" w:rsidRPr="004551AD" w:rsidRDefault="004551AD" w:rsidP="004551AD">
      <w:pPr>
        <w:spacing w:line="360" w:lineRule="auto"/>
        <w:jc w:val="center"/>
        <w:rPr>
          <w:b/>
          <w:sz w:val="26"/>
          <w:szCs w:val="26"/>
        </w:rPr>
      </w:pPr>
      <w:r w:rsidRPr="004551AD">
        <w:rPr>
          <w:b/>
          <w:sz w:val="26"/>
          <w:szCs w:val="26"/>
        </w:rPr>
        <w:t>COMMENTS</w:t>
      </w:r>
    </w:p>
    <w:p w:rsidR="004551AD" w:rsidRDefault="004551AD" w:rsidP="00F0470C">
      <w:pPr>
        <w:spacing w:line="360" w:lineRule="auto"/>
        <w:ind w:firstLine="720"/>
        <w:rPr>
          <w:sz w:val="26"/>
          <w:szCs w:val="26"/>
        </w:rPr>
      </w:pPr>
    </w:p>
    <w:p w:rsidR="004551AD" w:rsidRDefault="004551AD" w:rsidP="004551AD">
      <w:pPr>
        <w:spacing w:line="360" w:lineRule="auto"/>
        <w:ind w:firstLine="720"/>
        <w:rPr>
          <w:sz w:val="26"/>
          <w:szCs w:val="26"/>
        </w:rPr>
      </w:pPr>
      <w:r>
        <w:rPr>
          <w:sz w:val="26"/>
          <w:szCs w:val="26"/>
        </w:rPr>
        <w:t xml:space="preserve">Three parties, FirstEnergy Solutions (FES), the Office of Consumer Advocate (OCA) and Citizen Power (Citizen Power) filed comments in response to Duquesne’s April 20, 2015 plan filing.  </w:t>
      </w:r>
    </w:p>
    <w:p w:rsidR="00624306" w:rsidRDefault="00624306" w:rsidP="004551AD">
      <w:pPr>
        <w:spacing w:line="360" w:lineRule="auto"/>
        <w:ind w:firstLine="720"/>
        <w:rPr>
          <w:sz w:val="26"/>
          <w:szCs w:val="26"/>
        </w:rPr>
      </w:pPr>
    </w:p>
    <w:p w:rsidR="00EC3A07" w:rsidRDefault="004551AD" w:rsidP="004551AD">
      <w:pPr>
        <w:spacing w:line="360" w:lineRule="auto"/>
        <w:ind w:firstLine="720"/>
        <w:rPr>
          <w:sz w:val="26"/>
          <w:szCs w:val="26"/>
        </w:rPr>
      </w:pPr>
      <w:r w:rsidRPr="004551AD">
        <w:rPr>
          <w:sz w:val="26"/>
          <w:szCs w:val="26"/>
        </w:rPr>
        <w:lastRenderedPageBreak/>
        <w:t xml:space="preserve">FES insists that the EDC's plan should recognize an EGS's right to reject a seamless move request. </w:t>
      </w:r>
      <w:r w:rsidR="00EC2040">
        <w:rPr>
          <w:sz w:val="26"/>
          <w:szCs w:val="26"/>
        </w:rPr>
        <w:t xml:space="preserve"> </w:t>
      </w:r>
      <w:r w:rsidRPr="004551AD">
        <w:rPr>
          <w:sz w:val="26"/>
          <w:szCs w:val="26"/>
        </w:rPr>
        <w:t xml:space="preserve">FES notes that contract portability implicates the legal terms and conditions of an EGS's contract with its customer, as well as business and logistical issues.  Accordingly, the EDC plans should recognize that both the customer and EGS must agree to a seamless move. </w:t>
      </w:r>
      <w:r w:rsidR="00EC2040">
        <w:rPr>
          <w:sz w:val="26"/>
          <w:szCs w:val="26"/>
        </w:rPr>
        <w:t xml:space="preserve"> </w:t>
      </w:r>
      <w:r w:rsidRPr="004551AD">
        <w:rPr>
          <w:sz w:val="26"/>
          <w:szCs w:val="26"/>
        </w:rPr>
        <w:t xml:space="preserve">FES recommends that if an EGS does not respond to an EDI request within three days, the seamless move is </w:t>
      </w:r>
      <w:r w:rsidR="00EC3A07">
        <w:rPr>
          <w:sz w:val="26"/>
          <w:szCs w:val="26"/>
        </w:rPr>
        <w:t xml:space="preserve">to be </w:t>
      </w:r>
      <w:r w:rsidRPr="004551AD">
        <w:rPr>
          <w:sz w:val="26"/>
          <w:szCs w:val="26"/>
        </w:rPr>
        <w:t>deemed rejected and the EGS's service will not follow the customer</w:t>
      </w:r>
      <w:r w:rsidR="00EC3A07">
        <w:rPr>
          <w:sz w:val="26"/>
          <w:szCs w:val="26"/>
        </w:rPr>
        <w:t xml:space="preserve">. </w:t>
      </w:r>
      <w:r w:rsidRPr="004551AD">
        <w:rPr>
          <w:sz w:val="26"/>
          <w:szCs w:val="26"/>
        </w:rPr>
        <w:t xml:space="preserve"> </w:t>
      </w:r>
      <w:proofErr w:type="gramStart"/>
      <w:r w:rsidR="00EC3A07" w:rsidRPr="004551AD">
        <w:rPr>
          <w:sz w:val="26"/>
          <w:szCs w:val="26"/>
        </w:rPr>
        <w:t>FES at 3.</w:t>
      </w:r>
      <w:proofErr w:type="gramEnd"/>
      <w:r w:rsidR="00EC3A07">
        <w:rPr>
          <w:sz w:val="26"/>
          <w:szCs w:val="26"/>
        </w:rPr>
        <w:t xml:space="preserve">  </w:t>
      </w:r>
    </w:p>
    <w:p w:rsidR="00EC3A07" w:rsidRDefault="00EC3A07" w:rsidP="004551AD">
      <w:pPr>
        <w:spacing w:line="360" w:lineRule="auto"/>
        <w:ind w:firstLine="720"/>
        <w:rPr>
          <w:sz w:val="26"/>
          <w:szCs w:val="26"/>
        </w:rPr>
      </w:pPr>
    </w:p>
    <w:p w:rsidR="004551AD" w:rsidRDefault="00EC3A07" w:rsidP="004551AD">
      <w:pPr>
        <w:spacing w:line="360" w:lineRule="auto"/>
        <w:ind w:firstLine="720"/>
        <w:rPr>
          <w:sz w:val="26"/>
          <w:szCs w:val="26"/>
        </w:rPr>
      </w:pPr>
      <w:r>
        <w:rPr>
          <w:sz w:val="26"/>
          <w:szCs w:val="26"/>
        </w:rPr>
        <w:t>FES states that</w:t>
      </w:r>
      <w:r w:rsidR="004551AD" w:rsidRPr="004551AD">
        <w:rPr>
          <w:sz w:val="26"/>
          <w:szCs w:val="26"/>
        </w:rPr>
        <w:t xml:space="preserve"> EGS</w:t>
      </w:r>
      <w:r>
        <w:rPr>
          <w:sz w:val="26"/>
          <w:szCs w:val="26"/>
        </w:rPr>
        <w:t>s</w:t>
      </w:r>
      <w:r w:rsidR="004551AD" w:rsidRPr="004551AD">
        <w:rPr>
          <w:sz w:val="26"/>
          <w:szCs w:val="26"/>
        </w:rPr>
        <w:t xml:space="preserve"> should not be required to serve </w:t>
      </w:r>
      <w:r>
        <w:rPr>
          <w:sz w:val="26"/>
          <w:szCs w:val="26"/>
        </w:rPr>
        <w:t>a</w:t>
      </w:r>
      <w:r w:rsidRPr="004551AD">
        <w:rPr>
          <w:sz w:val="26"/>
          <w:szCs w:val="26"/>
        </w:rPr>
        <w:t xml:space="preserve"> </w:t>
      </w:r>
      <w:r w:rsidR="004551AD" w:rsidRPr="004551AD">
        <w:rPr>
          <w:sz w:val="26"/>
          <w:szCs w:val="26"/>
        </w:rPr>
        <w:t xml:space="preserve">customer for any period of time </w:t>
      </w:r>
      <w:r w:rsidR="00482911" w:rsidRPr="004551AD">
        <w:rPr>
          <w:sz w:val="26"/>
          <w:szCs w:val="26"/>
        </w:rPr>
        <w:t xml:space="preserve">at </w:t>
      </w:r>
      <w:r w:rsidR="00482911">
        <w:rPr>
          <w:sz w:val="26"/>
          <w:szCs w:val="26"/>
        </w:rPr>
        <w:t>a</w:t>
      </w:r>
      <w:r w:rsidR="00482911" w:rsidRPr="004551AD">
        <w:rPr>
          <w:sz w:val="26"/>
          <w:szCs w:val="26"/>
        </w:rPr>
        <w:t xml:space="preserve"> new premise</w:t>
      </w:r>
      <w:r w:rsidR="004551AD" w:rsidRPr="004551AD">
        <w:rPr>
          <w:sz w:val="26"/>
          <w:szCs w:val="26"/>
        </w:rPr>
        <w:t xml:space="preserve">. </w:t>
      </w:r>
      <w:r w:rsidR="00354D80">
        <w:rPr>
          <w:sz w:val="26"/>
          <w:szCs w:val="26"/>
        </w:rPr>
        <w:t xml:space="preserve"> </w:t>
      </w:r>
      <w:r w:rsidR="004551AD" w:rsidRPr="004551AD">
        <w:rPr>
          <w:sz w:val="26"/>
          <w:szCs w:val="26"/>
        </w:rPr>
        <w:t>To require otherwise might require the EGS to deal with complications like gaps or overlaps in EGS service caused by a customer move where service is not smoothly transferred from one location to another.  FES at</w:t>
      </w:r>
      <w:r>
        <w:rPr>
          <w:sz w:val="26"/>
          <w:szCs w:val="26"/>
        </w:rPr>
        <w:t xml:space="preserve"> 3-</w:t>
      </w:r>
      <w:r w:rsidR="004551AD" w:rsidRPr="004551AD">
        <w:rPr>
          <w:sz w:val="26"/>
          <w:szCs w:val="26"/>
        </w:rPr>
        <w:t xml:space="preserve">4.  FES further notes that changes in a customer's load profile </w:t>
      </w:r>
      <w:r>
        <w:rPr>
          <w:sz w:val="26"/>
          <w:szCs w:val="26"/>
        </w:rPr>
        <w:t>at the new location</w:t>
      </w:r>
      <w:r w:rsidR="004551AD" w:rsidRPr="004551AD">
        <w:rPr>
          <w:sz w:val="26"/>
          <w:szCs w:val="26"/>
        </w:rPr>
        <w:t xml:space="preserve"> may make an EGS contract uneconomic.  </w:t>
      </w:r>
      <w:proofErr w:type="gramStart"/>
      <w:r w:rsidR="004551AD" w:rsidRPr="004551AD">
        <w:rPr>
          <w:sz w:val="26"/>
          <w:szCs w:val="26"/>
        </w:rPr>
        <w:t>FES at 5.</w:t>
      </w:r>
      <w:proofErr w:type="gramEnd"/>
      <w:r w:rsidR="004551AD" w:rsidRPr="004551AD">
        <w:rPr>
          <w:sz w:val="26"/>
          <w:szCs w:val="26"/>
        </w:rPr>
        <w:t xml:space="preserve">  Accordingly, FES believes that only an EGS contract that provides for portability should be eligible for seamless moves and further, </w:t>
      </w:r>
      <w:r>
        <w:rPr>
          <w:sz w:val="26"/>
          <w:szCs w:val="26"/>
        </w:rPr>
        <w:t xml:space="preserve">that </w:t>
      </w:r>
      <w:r w:rsidR="004551AD" w:rsidRPr="004551AD">
        <w:rPr>
          <w:sz w:val="26"/>
          <w:szCs w:val="26"/>
        </w:rPr>
        <w:t>each EDC plan should apply only to EGS contracts that become effective on or after the EDC's plan implementation</w:t>
      </w:r>
      <w:r>
        <w:rPr>
          <w:sz w:val="26"/>
          <w:szCs w:val="26"/>
        </w:rPr>
        <w:t xml:space="preserve"> date</w:t>
      </w:r>
      <w:r w:rsidR="004551AD" w:rsidRPr="004551AD">
        <w:rPr>
          <w:sz w:val="26"/>
          <w:szCs w:val="26"/>
        </w:rPr>
        <w:t xml:space="preserve">.  </w:t>
      </w:r>
      <w:proofErr w:type="gramStart"/>
      <w:r w:rsidR="004551AD" w:rsidRPr="004551AD">
        <w:rPr>
          <w:sz w:val="26"/>
          <w:szCs w:val="26"/>
        </w:rPr>
        <w:t>FES at 4.</w:t>
      </w:r>
      <w:proofErr w:type="gramEnd"/>
      <w:r w:rsidR="004551AD" w:rsidRPr="004551AD">
        <w:rPr>
          <w:sz w:val="26"/>
          <w:szCs w:val="26"/>
        </w:rPr>
        <w:t xml:space="preserve"> </w:t>
      </w:r>
    </w:p>
    <w:p w:rsidR="004551AD" w:rsidRPr="004551AD" w:rsidRDefault="004551AD" w:rsidP="004551AD">
      <w:pPr>
        <w:spacing w:line="360" w:lineRule="auto"/>
        <w:ind w:firstLine="720"/>
        <w:rPr>
          <w:sz w:val="26"/>
          <w:szCs w:val="26"/>
        </w:rPr>
      </w:pPr>
    </w:p>
    <w:p w:rsidR="004551AD" w:rsidRDefault="004551AD" w:rsidP="004551AD">
      <w:pPr>
        <w:spacing w:line="360" w:lineRule="auto"/>
        <w:ind w:firstLine="720"/>
        <w:rPr>
          <w:sz w:val="26"/>
          <w:szCs w:val="26"/>
        </w:rPr>
      </w:pPr>
      <w:r w:rsidRPr="004551AD">
        <w:rPr>
          <w:sz w:val="26"/>
          <w:szCs w:val="26"/>
        </w:rPr>
        <w:t>Citizen Power generally agrees that the proposed rules and procedures are a reasonable approach to implementing seamless moves</w:t>
      </w:r>
      <w:r w:rsidR="00EC3A07">
        <w:rPr>
          <w:sz w:val="26"/>
          <w:szCs w:val="26"/>
        </w:rPr>
        <w:t xml:space="preserve"> with </w:t>
      </w:r>
      <w:r w:rsidRPr="004551AD">
        <w:rPr>
          <w:sz w:val="26"/>
          <w:szCs w:val="26"/>
        </w:rPr>
        <w:t xml:space="preserve">a couple of minor changes to improve seamless moves from a consumer perspective. </w:t>
      </w:r>
      <w:r w:rsidR="006F6EE1">
        <w:rPr>
          <w:sz w:val="26"/>
          <w:szCs w:val="26"/>
        </w:rPr>
        <w:t xml:space="preserve"> </w:t>
      </w:r>
      <w:r w:rsidRPr="004551AD">
        <w:rPr>
          <w:sz w:val="26"/>
          <w:szCs w:val="26"/>
        </w:rPr>
        <w:t xml:space="preserve">Citizen Power recommends that Duquesne should give the EGSs an option to set as their default that they will not service their existing customers at new locations. </w:t>
      </w:r>
      <w:r w:rsidR="001D0D4D">
        <w:rPr>
          <w:sz w:val="26"/>
          <w:szCs w:val="26"/>
        </w:rPr>
        <w:t xml:space="preserve"> </w:t>
      </w:r>
      <w:r w:rsidRPr="004551AD">
        <w:rPr>
          <w:sz w:val="26"/>
          <w:szCs w:val="26"/>
        </w:rPr>
        <w:t xml:space="preserve">Citizen Power believes that this would allow Duquesne to inform the consumer, at the time of the seamless move request, that their existing EGS will not provide service at the new location.  Citizen Power at 1-2.  Further, Citizen Power thinks that the </w:t>
      </w:r>
      <w:r w:rsidR="006F6EE1">
        <w:rPr>
          <w:sz w:val="26"/>
          <w:szCs w:val="26"/>
        </w:rPr>
        <w:t>three-</w:t>
      </w:r>
      <w:r w:rsidRPr="004551AD">
        <w:rPr>
          <w:sz w:val="26"/>
          <w:szCs w:val="26"/>
        </w:rPr>
        <w:t xml:space="preserve">day maximum gap in service allowed for a seamless move in Duquesne’s plan should be expanded to </w:t>
      </w:r>
      <w:r w:rsidR="006F6EE1">
        <w:rPr>
          <w:sz w:val="26"/>
          <w:szCs w:val="26"/>
        </w:rPr>
        <w:t>seven</w:t>
      </w:r>
      <w:r w:rsidRPr="004551AD">
        <w:rPr>
          <w:sz w:val="26"/>
          <w:szCs w:val="26"/>
        </w:rPr>
        <w:t xml:space="preserve"> days because real estate transactions have unexpected complications, resulting in minor changes of closing dates.  Additionally, while Citizen Power agrees with the proposal that customers must request </w:t>
      </w:r>
      <w:r w:rsidRPr="004551AD">
        <w:rPr>
          <w:sz w:val="26"/>
          <w:szCs w:val="26"/>
        </w:rPr>
        <w:lastRenderedPageBreak/>
        <w:t xml:space="preserve">the start of new service and the end of old service in the same contact, it is concerned </w:t>
      </w:r>
      <w:r w:rsidR="00793995" w:rsidRPr="004551AD">
        <w:rPr>
          <w:sz w:val="26"/>
          <w:szCs w:val="26"/>
        </w:rPr>
        <w:t>that consumers</w:t>
      </w:r>
      <w:r w:rsidRPr="004551AD">
        <w:rPr>
          <w:sz w:val="26"/>
          <w:szCs w:val="26"/>
        </w:rPr>
        <w:t xml:space="preserve"> may not be aware of this requirement. </w:t>
      </w:r>
      <w:r w:rsidR="0002639B">
        <w:rPr>
          <w:sz w:val="26"/>
          <w:szCs w:val="26"/>
        </w:rPr>
        <w:t xml:space="preserve"> </w:t>
      </w:r>
      <w:r w:rsidRPr="004551AD">
        <w:rPr>
          <w:sz w:val="26"/>
          <w:szCs w:val="26"/>
        </w:rPr>
        <w:t>Therefore,</w:t>
      </w:r>
      <w:r w:rsidR="00482911">
        <w:rPr>
          <w:sz w:val="26"/>
          <w:szCs w:val="26"/>
        </w:rPr>
        <w:t xml:space="preserve"> </w:t>
      </w:r>
      <w:r w:rsidRPr="004551AD">
        <w:rPr>
          <w:sz w:val="26"/>
          <w:szCs w:val="26"/>
        </w:rPr>
        <w:t xml:space="preserve">Citizen Power recommends that Duquesne should be required to inform customers of this requirement. </w:t>
      </w:r>
      <w:r w:rsidR="00845F09">
        <w:rPr>
          <w:sz w:val="26"/>
          <w:szCs w:val="26"/>
        </w:rPr>
        <w:t xml:space="preserve"> </w:t>
      </w:r>
      <w:r w:rsidRPr="004551AD">
        <w:rPr>
          <w:sz w:val="26"/>
          <w:szCs w:val="26"/>
        </w:rPr>
        <w:t>Finally, Citizen Power asks that Duquesne identify, with more detail, what specific initiatives Duquesne is referencing that may impact the implementation schedule.  Citizen Power at 2-3.</w:t>
      </w:r>
    </w:p>
    <w:p w:rsidR="004551AD" w:rsidRPr="004551AD" w:rsidRDefault="004551AD" w:rsidP="004551AD">
      <w:pPr>
        <w:spacing w:line="360" w:lineRule="auto"/>
        <w:ind w:firstLine="720"/>
        <w:rPr>
          <w:sz w:val="26"/>
          <w:szCs w:val="26"/>
        </w:rPr>
      </w:pPr>
    </w:p>
    <w:p w:rsidR="00343BC4" w:rsidRDefault="00B22D96" w:rsidP="004551AD">
      <w:pPr>
        <w:spacing w:line="360" w:lineRule="auto"/>
        <w:ind w:firstLine="720"/>
        <w:rPr>
          <w:sz w:val="26"/>
          <w:szCs w:val="26"/>
        </w:rPr>
      </w:pPr>
      <w:r>
        <w:rPr>
          <w:sz w:val="26"/>
          <w:szCs w:val="26"/>
        </w:rPr>
        <w:t xml:space="preserve">The </w:t>
      </w:r>
      <w:r w:rsidR="004551AD" w:rsidRPr="004551AD">
        <w:rPr>
          <w:sz w:val="26"/>
          <w:szCs w:val="26"/>
        </w:rPr>
        <w:t xml:space="preserve">OCA is in general agreement with the Commission's proposals related to </w:t>
      </w:r>
      <w:r w:rsidR="001D0D4D">
        <w:rPr>
          <w:sz w:val="26"/>
          <w:szCs w:val="26"/>
        </w:rPr>
        <w:t>i</w:t>
      </w:r>
      <w:r w:rsidR="004551AD" w:rsidRPr="004551AD">
        <w:rPr>
          <w:sz w:val="26"/>
          <w:szCs w:val="26"/>
        </w:rPr>
        <w:t xml:space="preserve">nstant </w:t>
      </w:r>
      <w:r w:rsidR="001D0D4D">
        <w:rPr>
          <w:sz w:val="26"/>
          <w:szCs w:val="26"/>
        </w:rPr>
        <w:t>c</w:t>
      </w:r>
      <w:r w:rsidR="004551AD" w:rsidRPr="004551AD">
        <w:rPr>
          <w:sz w:val="26"/>
          <w:szCs w:val="26"/>
        </w:rPr>
        <w:t xml:space="preserve">onnects and </w:t>
      </w:r>
      <w:r w:rsidR="001D0D4D">
        <w:rPr>
          <w:sz w:val="26"/>
          <w:szCs w:val="26"/>
        </w:rPr>
        <w:t>s</w:t>
      </w:r>
      <w:r w:rsidR="004551AD" w:rsidRPr="004551AD">
        <w:rPr>
          <w:sz w:val="26"/>
          <w:szCs w:val="26"/>
        </w:rPr>
        <w:t xml:space="preserve">eamless </w:t>
      </w:r>
      <w:r w:rsidR="001D0D4D">
        <w:rPr>
          <w:sz w:val="26"/>
          <w:szCs w:val="26"/>
        </w:rPr>
        <w:t>m</w:t>
      </w:r>
      <w:r w:rsidR="004551AD" w:rsidRPr="004551AD">
        <w:rPr>
          <w:sz w:val="26"/>
          <w:szCs w:val="26"/>
        </w:rPr>
        <w:t xml:space="preserve">oves and that, while it finds these processes to be reasonable, </w:t>
      </w:r>
      <w:r>
        <w:rPr>
          <w:sz w:val="26"/>
          <w:szCs w:val="26"/>
        </w:rPr>
        <w:t xml:space="preserve">it asserts that </w:t>
      </w:r>
      <w:r w:rsidR="004551AD" w:rsidRPr="004551AD">
        <w:rPr>
          <w:sz w:val="26"/>
          <w:szCs w:val="26"/>
        </w:rPr>
        <w:t xml:space="preserve">certain issues should be addressed.  OCA at 2-3.  The OCA submits that every EGS customer who contacts the EDC to arrange a move should be informed of the </w:t>
      </w:r>
      <w:r w:rsidR="002A5970">
        <w:rPr>
          <w:sz w:val="26"/>
          <w:szCs w:val="26"/>
        </w:rPr>
        <w:t>s</w:t>
      </w:r>
      <w:r w:rsidR="004551AD" w:rsidRPr="004551AD">
        <w:rPr>
          <w:sz w:val="26"/>
          <w:szCs w:val="26"/>
        </w:rPr>
        <w:t xml:space="preserve">eamless </w:t>
      </w:r>
      <w:r w:rsidR="002A5970">
        <w:rPr>
          <w:sz w:val="26"/>
          <w:szCs w:val="26"/>
        </w:rPr>
        <w:t>m</w:t>
      </w:r>
      <w:r w:rsidR="004551AD" w:rsidRPr="004551AD">
        <w:rPr>
          <w:sz w:val="26"/>
          <w:szCs w:val="26"/>
        </w:rPr>
        <w:t xml:space="preserve">ove process so that the customer is aware that they will retain the EGS at their new location unless the EGS determines that it will not continue to provide service </w:t>
      </w:r>
      <w:r w:rsidR="0002639B">
        <w:rPr>
          <w:sz w:val="26"/>
          <w:szCs w:val="26"/>
        </w:rPr>
        <w:t>at the new location</w:t>
      </w:r>
      <w:r w:rsidR="004551AD" w:rsidRPr="004551AD">
        <w:rPr>
          <w:sz w:val="26"/>
          <w:szCs w:val="26"/>
        </w:rPr>
        <w:t xml:space="preserve">.  The OCA further </w:t>
      </w:r>
      <w:r w:rsidR="002A5970">
        <w:rPr>
          <w:sz w:val="26"/>
          <w:szCs w:val="26"/>
        </w:rPr>
        <w:t>s</w:t>
      </w:r>
      <w:r w:rsidR="004551AD" w:rsidRPr="004551AD">
        <w:rPr>
          <w:sz w:val="26"/>
          <w:szCs w:val="26"/>
        </w:rPr>
        <w:t>ubmits that EGSs should be required to send a confirmation letter to a customer informing the customer that the EGS will</w:t>
      </w:r>
      <w:r w:rsidR="0002639B">
        <w:rPr>
          <w:sz w:val="26"/>
          <w:szCs w:val="26"/>
        </w:rPr>
        <w:t xml:space="preserve"> or </w:t>
      </w:r>
      <w:r w:rsidR="004551AD" w:rsidRPr="004551AD">
        <w:rPr>
          <w:sz w:val="26"/>
          <w:szCs w:val="26"/>
        </w:rPr>
        <w:t xml:space="preserve">will not continue service at the new location. </w:t>
      </w:r>
      <w:r w:rsidR="007631B2">
        <w:rPr>
          <w:sz w:val="26"/>
          <w:szCs w:val="26"/>
        </w:rPr>
        <w:t xml:space="preserve"> </w:t>
      </w:r>
      <w:r w:rsidR="004551AD" w:rsidRPr="004551AD">
        <w:rPr>
          <w:sz w:val="26"/>
          <w:szCs w:val="26"/>
        </w:rPr>
        <w:t>The OCA acknowledges that this may increase costs for EGSs but believes that customers should be aware of how their service will be provided as their circumstances</w:t>
      </w:r>
      <w:r w:rsidR="00482911">
        <w:rPr>
          <w:sz w:val="26"/>
          <w:szCs w:val="26"/>
        </w:rPr>
        <w:t xml:space="preserve"> </w:t>
      </w:r>
      <w:r w:rsidR="004551AD" w:rsidRPr="004551AD">
        <w:rPr>
          <w:sz w:val="26"/>
          <w:szCs w:val="26"/>
        </w:rPr>
        <w:t xml:space="preserve">change.  OCA at 3-4.  </w:t>
      </w:r>
    </w:p>
    <w:p w:rsidR="00343BC4" w:rsidRDefault="00343BC4" w:rsidP="004551AD">
      <w:pPr>
        <w:spacing w:line="360" w:lineRule="auto"/>
        <w:ind w:firstLine="720"/>
        <w:rPr>
          <w:sz w:val="26"/>
          <w:szCs w:val="26"/>
        </w:rPr>
      </w:pPr>
    </w:p>
    <w:p w:rsidR="004551AD" w:rsidRDefault="007718FA" w:rsidP="004551AD">
      <w:pPr>
        <w:spacing w:line="360" w:lineRule="auto"/>
        <w:ind w:firstLine="720"/>
        <w:rPr>
          <w:sz w:val="26"/>
          <w:szCs w:val="26"/>
        </w:rPr>
      </w:pPr>
      <w:r>
        <w:rPr>
          <w:sz w:val="26"/>
          <w:szCs w:val="26"/>
        </w:rPr>
        <w:t>Regarding</w:t>
      </w:r>
      <w:r w:rsidR="004551AD" w:rsidRPr="004551AD">
        <w:rPr>
          <w:sz w:val="26"/>
          <w:szCs w:val="26"/>
        </w:rPr>
        <w:t xml:space="preserve"> EDC cost recovery, </w:t>
      </w:r>
      <w:r>
        <w:rPr>
          <w:sz w:val="26"/>
          <w:szCs w:val="26"/>
        </w:rPr>
        <w:t xml:space="preserve">the </w:t>
      </w:r>
      <w:r w:rsidR="004551AD" w:rsidRPr="004551AD">
        <w:rPr>
          <w:sz w:val="26"/>
          <w:szCs w:val="26"/>
        </w:rPr>
        <w:t>OCA believes costs should be borne by the EGSs because these two processes will provide significant benefits to EGSs by providing a low</w:t>
      </w:r>
      <w:r>
        <w:rPr>
          <w:sz w:val="26"/>
          <w:szCs w:val="26"/>
        </w:rPr>
        <w:t>-</w:t>
      </w:r>
      <w:r w:rsidR="004551AD" w:rsidRPr="004551AD">
        <w:rPr>
          <w:sz w:val="26"/>
          <w:szCs w:val="26"/>
        </w:rPr>
        <w:t>cost method for them to obtain and retain customers.  However, if ratepayers are asked to pay any portion of these costs, the OCA asks that the cost</w:t>
      </w:r>
      <w:r w:rsidR="0002639B">
        <w:rPr>
          <w:sz w:val="26"/>
          <w:szCs w:val="26"/>
        </w:rPr>
        <w:t>s</w:t>
      </w:r>
      <w:r w:rsidR="004551AD" w:rsidRPr="004551AD">
        <w:rPr>
          <w:sz w:val="26"/>
          <w:szCs w:val="26"/>
        </w:rPr>
        <w:t xml:space="preserve"> be included in base rates.  </w:t>
      </w:r>
      <w:r w:rsidR="00000CF2">
        <w:rPr>
          <w:sz w:val="26"/>
          <w:szCs w:val="26"/>
        </w:rPr>
        <w:t xml:space="preserve">The </w:t>
      </w:r>
      <w:r w:rsidR="004551AD" w:rsidRPr="004551AD">
        <w:rPr>
          <w:sz w:val="26"/>
          <w:szCs w:val="26"/>
        </w:rPr>
        <w:t xml:space="preserve">OCA believes that the Commission should not allow recovery of any ratepayer share of these costs (if any) through ratepayer surcharges, consistent with its recent decisions on the costs associated with accelerated switching and Citizens' and Wellsboro's </w:t>
      </w:r>
      <w:r w:rsidR="00000CF2">
        <w:rPr>
          <w:sz w:val="26"/>
          <w:szCs w:val="26"/>
        </w:rPr>
        <w:t>EDI</w:t>
      </w:r>
      <w:r w:rsidR="0002639B" w:rsidRPr="004551AD">
        <w:rPr>
          <w:sz w:val="26"/>
          <w:szCs w:val="26"/>
        </w:rPr>
        <w:t xml:space="preserve"> </w:t>
      </w:r>
      <w:r w:rsidR="004551AD" w:rsidRPr="004551AD">
        <w:rPr>
          <w:sz w:val="26"/>
          <w:szCs w:val="26"/>
        </w:rPr>
        <w:t xml:space="preserve">systems.  </w:t>
      </w:r>
      <w:proofErr w:type="gramStart"/>
      <w:r w:rsidR="004551AD" w:rsidRPr="004551AD">
        <w:rPr>
          <w:sz w:val="26"/>
          <w:szCs w:val="26"/>
        </w:rPr>
        <w:t>OCA at 4.</w:t>
      </w:r>
      <w:proofErr w:type="gramEnd"/>
    </w:p>
    <w:p w:rsidR="002A5970" w:rsidRDefault="002A5970" w:rsidP="004551AD">
      <w:pPr>
        <w:spacing w:line="360" w:lineRule="auto"/>
        <w:ind w:firstLine="720"/>
        <w:rPr>
          <w:sz w:val="26"/>
          <w:szCs w:val="26"/>
        </w:rPr>
      </w:pPr>
    </w:p>
    <w:p w:rsidR="007F6425" w:rsidRPr="007F6425" w:rsidRDefault="007F6425" w:rsidP="00C103BC">
      <w:pPr>
        <w:keepNext/>
        <w:keepLines/>
        <w:spacing w:line="360" w:lineRule="auto"/>
        <w:jc w:val="center"/>
        <w:rPr>
          <w:b/>
          <w:sz w:val="26"/>
          <w:szCs w:val="26"/>
        </w:rPr>
      </w:pPr>
      <w:r w:rsidRPr="007F6425">
        <w:rPr>
          <w:b/>
          <w:sz w:val="26"/>
          <w:szCs w:val="26"/>
        </w:rPr>
        <w:lastRenderedPageBreak/>
        <w:t>RESOLUTION</w:t>
      </w:r>
    </w:p>
    <w:p w:rsidR="007F6425" w:rsidRDefault="007F6425" w:rsidP="00C103BC">
      <w:pPr>
        <w:keepNext/>
        <w:keepLines/>
        <w:spacing w:line="360" w:lineRule="auto"/>
        <w:ind w:firstLine="720"/>
        <w:rPr>
          <w:sz w:val="26"/>
          <w:szCs w:val="26"/>
        </w:rPr>
      </w:pPr>
    </w:p>
    <w:p w:rsidR="00624306" w:rsidRDefault="00942229" w:rsidP="00C103BC">
      <w:pPr>
        <w:keepNext/>
        <w:keepLines/>
        <w:spacing w:line="360" w:lineRule="auto"/>
        <w:ind w:firstLine="720"/>
        <w:rPr>
          <w:sz w:val="26"/>
          <w:szCs w:val="26"/>
        </w:rPr>
      </w:pPr>
      <w:r>
        <w:rPr>
          <w:sz w:val="26"/>
          <w:szCs w:val="26"/>
        </w:rPr>
        <w:t xml:space="preserve">Upon review of Duquesne’s plan and the comments, we remain convinced that seamless moves and instant connects </w:t>
      </w:r>
      <w:r w:rsidR="00C96752">
        <w:rPr>
          <w:sz w:val="26"/>
          <w:szCs w:val="26"/>
        </w:rPr>
        <w:t>are</w:t>
      </w:r>
      <w:r>
        <w:rPr>
          <w:sz w:val="26"/>
          <w:szCs w:val="26"/>
        </w:rPr>
        <w:t xml:space="preserve"> important enhancement</w:t>
      </w:r>
      <w:r w:rsidR="00B22D96">
        <w:rPr>
          <w:sz w:val="26"/>
          <w:szCs w:val="26"/>
        </w:rPr>
        <w:t>s</w:t>
      </w:r>
      <w:r>
        <w:rPr>
          <w:sz w:val="26"/>
          <w:szCs w:val="26"/>
        </w:rPr>
        <w:t xml:space="preserve"> to the competitive </w:t>
      </w:r>
      <w:r w:rsidR="00C96752">
        <w:rPr>
          <w:sz w:val="26"/>
          <w:szCs w:val="26"/>
        </w:rPr>
        <w:t xml:space="preserve">electric market </w:t>
      </w:r>
      <w:r>
        <w:rPr>
          <w:sz w:val="26"/>
          <w:szCs w:val="26"/>
        </w:rPr>
        <w:t xml:space="preserve">landscape.  </w:t>
      </w:r>
      <w:r w:rsidR="00B22D96">
        <w:rPr>
          <w:sz w:val="26"/>
          <w:szCs w:val="26"/>
        </w:rPr>
        <w:t>T</w:t>
      </w:r>
      <w:r>
        <w:rPr>
          <w:sz w:val="26"/>
          <w:szCs w:val="26"/>
        </w:rPr>
        <w:t>hese</w:t>
      </w:r>
      <w:r w:rsidR="00B22D96">
        <w:rPr>
          <w:sz w:val="26"/>
          <w:szCs w:val="26"/>
        </w:rPr>
        <w:t xml:space="preserve"> two items</w:t>
      </w:r>
      <w:r>
        <w:rPr>
          <w:sz w:val="26"/>
          <w:szCs w:val="26"/>
        </w:rPr>
        <w:t xml:space="preserve"> are, from a customer’s perspective, </w:t>
      </w:r>
      <w:r w:rsidR="00C96752">
        <w:rPr>
          <w:sz w:val="26"/>
          <w:szCs w:val="26"/>
        </w:rPr>
        <w:t>ordinary</w:t>
      </w:r>
      <w:r w:rsidR="00C96752" w:rsidDel="00C96752">
        <w:rPr>
          <w:sz w:val="26"/>
          <w:szCs w:val="26"/>
        </w:rPr>
        <w:t xml:space="preserve"> </w:t>
      </w:r>
      <w:r>
        <w:rPr>
          <w:sz w:val="26"/>
          <w:szCs w:val="26"/>
        </w:rPr>
        <w:t xml:space="preserve">and expected capabilities </w:t>
      </w:r>
      <w:r w:rsidR="00D33578" w:rsidRPr="00387868">
        <w:rPr>
          <w:sz w:val="26"/>
          <w:szCs w:val="26"/>
        </w:rPr>
        <w:t xml:space="preserve">that have been hindered by current EDC account </w:t>
      </w:r>
      <w:r w:rsidR="00C96752">
        <w:rPr>
          <w:sz w:val="26"/>
          <w:szCs w:val="26"/>
        </w:rPr>
        <w:t xml:space="preserve">handling processes and </w:t>
      </w:r>
      <w:r w:rsidR="00D33578" w:rsidRPr="00387868">
        <w:rPr>
          <w:sz w:val="26"/>
          <w:szCs w:val="26"/>
        </w:rPr>
        <w:t xml:space="preserve">information systems.  </w:t>
      </w:r>
      <w:r>
        <w:rPr>
          <w:sz w:val="26"/>
          <w:szCs w:val="26"/>
        </w:rPr>
        <w:t>A</w:t>
      </w:r>
      <w:r w:rsidRPr="00942229">
        <w:rPr>
          <w:sz w:val="26"/>
          <w:szCs w:val="26"/>
        </w:rPr>
        <w:t xml:space="preserve"> customer should not have to obtain new supplier service simply because they moved locations within </w:t>
      </w:r>
      <w:r w:rsidR="00C96752">
        <w:rPr>
          <w:sz w:val="26"/>
          <w:szCs w:val="26"/>
        </w:rPr>
        <w:t>an</w:t>
      </w:r>
      <w:r w:rsidR="00C96752" w:rsidRPr="00942229">
        <w:rPr>
          <w:sz w:val="26"/>
          <w:szCs w:val="26"/>
        </w:rPr>
        <w:t xml:space="preserve"> </w:t>
      </w:r>
      <w:r w:rsidRPr="00942229">
        <w:rPr>
          <w:sz w:val="26"/>
          <w:szCs w:val="26"/>
        </w:rPr>
        <w:t>EDC’s service territory</w:t>
      </w:r>
      <w:r w:rsidR="00B22D96">
        <w:rPr>
          <w:sz w:val="26"/>
          <w:szCs w:val="26"/>
        </w:rPr>
        <w:t xml:space="preserve">.  </w:t>
      </w:r>
      <w:r w:rsidRPr="00942229">
        <w:rPr>
          <w:sz w:val="26"/>
          <w:szCs w:val="26"/>
        </w:rPr>
        <w:t xml:space="preserve">It is reasonable for customers to expect that their supplier choice and contract be simply “ported” to their new location.  </w:t>
      </w:r>
      <w:r>
        <w:rPr>
          <w:sz w:val="26"/>
          <w:szCs w:val="26"/>
        </w:rPr>
        <w:t xml:space="preserve">Likewise, customers should be able to start new service with a supplier without first going onto default service.  The current system </w:t>
      </w:r>
      <w:r w:rsidRPr="00942229">
        <w:rPr>
          <w:sz w:val="26"/>
          <w:szCs w:val="26"/>
        </w:rPr>
        <w:t>inappropriately elevates default service to a favored, primary service role.</w:t>
      </w:r>
      <w:r>
        <w:rPr>
          <w:sz w:val="26"/>
          <w:szCs w:val="26"/>
        </w:rPr>
        <w:t xml:space="preserve">  </w:t>
      </w:r>
      <w:r w:rsidR="00624306">
        <w:rPr>
          <w:sz w:val="26"/>
          <w:szCs w:val="26"/>
        </w:rPr>
        <w:t xml:space="preserve">Instant connects will help end this </w:t>
      </w:r>
      <w:r w:rsidR="00C96752">
        <w:rPr>
          <w:sz w:val="26"/>
          <w:szCs w:val="26"/>
        </w:rPr>
        <w:t>undesirable</w:t>
      </w:r>
      <w:r w:rsidR="00C96752" w:rsidDel="00C96752">
        <w:rPr>
          <w:sz w:val="26"/>
          <w:szCs w:val="26"/>
        </w:rPr>
        <w:t xml:space="preserve"> </w:t>
      </w:r>
      <w:r w:rsidR="00C96752">
        <w:rPr>
          <w:sz w:val="26"/>
          <w:szCs w:val="26"/>
        </w:rPr>
        <w:t>practice</w:t>
      </w:r>
      <w:r w:rsidR="00624306">
        <w:rPr>
          <w:sz w:val="26"/>
          <w:szCs w:val="26"/>
        </w:rPr>
        <w:t>.</w:t>
      </w:r>
    </w:p>
    <w:p w:rsidR="00624306" w:rsidRDefault="00624306" w:rsidP="00942229">
      <w:pPr>
        <w:spacing w:line="360" w:lineRule="auto"/>
        <w:ind w:firstLine="720"/>
        <w:rPr>
          <w:sz w:val="26"/>
          <w:szCs w:val="26"/>
        </w:rPr>
      </w:pPr>
    </w:p>
    <w:p w:rsidR="00504B9B" w:rsidRDefault="00624306" w:rsidP="00942229">
      <w:pPr>
        <w:spacing w:line="360" w:lineRule="auto"/>
        <w:ind w:firstLine="720"/>
        <w:rPr>
          <w:sz w:val="26"/>
          <w:szCs w:val="26"/>
        </w:rPr>
      </w:pPr>
      <w:r>
        <w:rPr>
          <w:sz w:val="26"/>
          <w:szCs w:val="26"/>
        </w:rPr>
        <w:t xml:space="preserve">We find Duquesne’s plans for implementing seamless moves and instant connects reasonable and in </w:t>
      </w:r>
      <w:r w:rsidR="007623D9">
        <w:rPr>
          <w:sz w:val="26"/>
          <w:szCs w:val="26"/>
        </w:rPr>
        <w:t>conformity</w:t>
      </w:r>
      <w:r w:rsidR="007623D9" w:rsidDel="007623D9">
        <w:rPr>
          <w:sz w:val="26"/>
          <w:szCs w:val="26"/>
        </w:rPr>
        <w:t xml:space="preserve"> </w:t>
      </w:r>
      <w:r>
        <w:rPr>
          <w:sz w:val="26"/>
          <w:szCs w:val="26"/>
        </w:rPr>
        <w:t>with our expectations.  We reject FES’s position that an EGS should have the right and opportunity to reject a seamless move</w:t>
      </w:r>
      <w:r w:rsidR="00130F93">
        <w:rPr>
          <w:sz w:val="26"/>
          <w:szCs w:val="26"/>
        </w:rPr>
        <w:t xml:space="preserve"> which meets the requirements set forth in Duquesne’s </w:t>
      </w:r>
      <w:r w:rsidR="00AA0AAC">
        <w:rPr>
          <w:sz w:val="26"/>
          <w:szCs w:val="26"/>
        </w:rPr>
        <w:t>P</w:t>
      </w:r>
      <w:r w:rsidR="00130F93">
        <w:rPr>
          <w:sz w:val="26"/>
          <w:szCs w:val="26"/>
        </w:rPr>
        <w:t>lan.  W</w:t>
      </w:r>
      <w:r w:rsidR="00343BC4">
        <w:rPr>
          <w:sz w:val="26"/>
          <w:szCs w:val="26"/>
        </w:rPr>
        <w:t xml:space="preserve">e also reject Citizen Power’s position that EGSs </w:t>
      </w:r>
      <w:r w:rsidR="002A5970">
        <w:rPr>
          <w:sz w:val="26"/>
          <w:szCs w:val="26"/>
        </w:rPr>
        <w:t xml:space="preserve">should </w:t>
      </w:r>
      <w:r w:rsidR="00343BC4">
        <w:rPr>
          <w:sz w:val="26"/>
          <w:szCs w:val="26"/>
        </w:rPr>
        <w:t>have the ability to set as a “default” the rejection of seamless moves</w:t>
      </w:r>
      <w:r>
        <w:rPr>
          <w:sz w:val="26"/>
          <w:szCs w:val="26"/>
        </w:rPr>
        <w:t xml:space="preserve">.  </w:t>
      </w:r>
      <w:r w:rsidR="00343BC4">
        <w:rPr>
          <w:sz w:val="26"/>
          <w:szCs w:val="26"/>
        </w:rPr>
        <w:t xml:space="preserve">Once seamless moves </w:t>
      </w:r>
      <w:r w:rsidR="00504B9B">
        <w:rPr>
          <w:sz w:val="26"/>
          <w:szCs w:val="26"/>
        </w:rPr>
        <w:t xml:space="preserve">become </w:t>
      </w:r>
      <w:r w:rsidR="00343BC4">
        <w:rPr>
          <w:sz w:val="26"/>
          <w:szCs w:val="26"/>
        </w:rPr>
        <w:t xml:space="preserve">available – they </w:t>
      </w:r>
      <w:r w:rsidR="00130F93">
        <w:rPr>
          <w:sz w:val="26"/>
          <w:szCs w:val="26"/>
        </w:rPr>
        <w:t>should</w:t>
      </w:r>
      <w:r w:rsidR="00343BC4">
        <w:rPr>
          <w:sz w:val="26"/>
          <w:szCs w:val="26"/>
        </w:rPr>
        <w:t xml:space="preserve"> be used to the benefit of consumers.  </w:t>
      </w:r>
      <w:r w:rsidR="00EB7B3D">
        <w:rPr>
          <w:sz w:val="26"/>
          <w:szCs w:val="26"/>
        </w:rPr>
        <w:br/>
      </w:r>
    </w:p>
    <w:p w:rsidR="002A5970" w:rsidRDefault="00343BC4" w:rsidP="00942229">
      <w:pPr>
        <w:spacing w:line="360" w:lineRule="auto"/>
        <w:ind w:firstLine="720"/>
        <w:rPr>
          <w:sz w:val="26"/>
          <w:szCs w:val="26"/>
        </w:rPr>
      </w:pPr>
      <w:r>
        <w:rPr>
          <w:sz w:val="26"/>
          <w:szCs w:val="26"/>
        </w:rPr>
        <w:t xml:space="preserve">We </w:t>
      </w:r>
      <w:r w:rsidR="00504B9B">
        <w:rPr>
          <w:sz w:val="26"/>
          <w:szCs w:val="26"/>
        </w:rPr>
        <w:t>find that</w:t>
      </w:r>
      <w:r>
        <w:rPr>
          <w:sz w:val="26"/>
          <w:szCs w:val="26"/>
        </w:rPr>
        <w:t xml:space="preserve"> </w:t>
      </w:r>
      <w:r w:rsidR="00504B9B">
        <w:rPr>
          <w:sz w:val="26"/>
          <w:szCs w:val="26"/>
        </w:rPr>
        <w:t>Duquesne’s express eligibility requirements</w:t>
      </w:r>
      <w:r w:rsidR="00F85C6A">
        <w:rPr>
          <w:sz w:val="26"/>
          <w:szCs w:val="26"/>
        </w:rPr>
        <w:t>,</w:t>
      </w:r>
      <w:r w:rsidR="00504B9B">
        <w:rPr>
          <w:sz w:val="26"/>
          <w:szCs w:val="26"/>
        </w:rPr>
        <w:t xml:space="preserve"> including maintaining the existing rate class for seamless moves</w:t>
      </w:r>
      <w:r w:rsidR="00130F93">
        <w:rPr>
          <w:sz w:val="26"/>
          <w:szCs w:val="26"/>
        </w:rPr>
        <w:t xml:space="preserve"> and</w:t>
      </w:r>
      <w:r w:rsidR="00504B9B">
        <w:rPr>
          <w:sz w:val="26"/>
          <w:szCs w:val="26"/>
        </w:rPr>
        <w:t xml:space="preserve"> restriction to residential and low</w:t>
      </w:r>
      <w:r w:rsidR="00F85C6A">
        <w:rPr>
          <w:sz w:val="26"/>
          <w:szCs w:val="26"/>
        </w:rPr>
        <w:t>-</w:t>
      </w:r>
      <w:r w:rsidR="00504B9B">
        <w:rPr>
          <w:sz w:val="26"/>
          <w:szCs w:val="26"/>
        </w:rPr>
        <w:t>demand business customers</w:t>
      </w:r>
      <w:r w:rsidR="00130F93">
        <w:rPr>
          <w:sz w:val="26"/>
          <w:szCs w:val="26"/>
        </w:rPr>
        <w:t xml:space="preserve"> (less than 300kW)</w:t>
      </w:r>
      <w:r w:rsidR="00504B9B">
        <w:rPr>
          <w:sz w:val="26"/>
          <w:szCs w:val="26"/>
        </w:rPr>
        <w:t xml:space="preserve">, are responsive to concerns about the potential impact on EGSs.  </w:t>
      </w:r>
      <w:r w:rsidR="00130F93">
        <w:rPr>
          <w:sz w:val="26"/>
          <w:szCs w:val="26"/>
        </w:rPr>
        <w:t>These</w:t>
      </w:r>
      <w:r w:rsidR="008D19E7">
        <w:rPr>
          <w:sz w:val="26"/>
          <w:szCs w:val="26"/>
        </w:rPr>
        <w:t xml:space="preserve"> safeguards </w:t>
      </w:r>
      <w:r w:rsidR="00130F93">
        <w:rPr>
          <w:sz w:val="26"/>
          <w:szCs w:val="26"/>
        </w:rPr>
        <w:t xml:space="preserve">are sufficient </w:t>
      </w:r>
      <w:r w:rsidR="008D19E7">
        <w:rPr>
          <w:sz w:val="26"/>
          <w:szCs w:val="26"/>
        </w:rPr>
        <w:t xml:space="preserve">to prevent customers from materially changing their contracts with EGSs </w:t>
      </w:r>
      <w:r w:rsidR="00130F93">
        <w:rPr>
          <w:sz w:val="26"/>
          <w:szCs w:val="26"/>
        </w:rPr>
        <w:t xml:space="preserve">simply </w:t>
      </w:r>
      <w:r w:rsidR="008D19E7">
        <w:rPr>
          <w:sz w:val="26"/>
          <w:szCs w:val="26"/>
        </w:rPr>
        <w:t xml:space="preserve">by moving to a new location. </w:t>
      </w:r>
      <w:r w:rsidR="00130F93">
        <w:rPr>
          <w:sz w:val="26"/>
          <w:szCs w:val="26"/>
        </w:rPr>
        <w:t>We reiterate that t</w:t>
      </w:r>
      <w:r w:rsidR="008D19E7">
        <w:rPr>
          <w:sz w:val="26"/>
          <w:szCs w:val="26"/>
        </w:rPr>
        <w:t xml:space="preserve">hese safeguards include limiting seamless moves to accounts that use less than 300 kW of demand; requiring that the rate class remains unchanged; and that the customer maintains the same supplier billing rate, billing option and tax exemption percentage.  </w:t>
      </w:r>
      <w:r w:rsidR="008D19E7">
        <w:rPr>
          <w:sz w:val="26"/>
          <w:szCs w:val="26"/>
        </w:rPr>
        <w:lastRenderedPageBreak/>
        <w:t xml:space="preserve">We are convinced that these robust safeguards will prevent a customer from significantly changing the characteristics of their service with an EGS as a result of a move to a new location.  </w:t>
      </w:r>
      <w:r w:rsidR="00504B9B">
        <w:rPr>
          <w:sz w:val="26"/>
          <w:szCs w:val="26"/>
        </w:rPr>
        <w:t xml:space="preserve">In addition, </w:t>
      </w:r>
      <w:r>
        <w:rPr>
          <w:sz w:val="26"/>
          <w:szCs w:val="26"/>
        </w:rPr>
        <w:t xml:space="preserve">Duquesne’s stated approach – </w:t>
      </w:r>
      <w:proofErr w:type="gramStart"/>
      <w:r>
        <w:rPr>
          <w:sz w:val="26"/>
          <w:szCs w:val="26"/>
        </w:rPr>
        <w:t>that</w:t>
      </w:r>
      <w:proofErr w:type="gramEnd"/>
      <w:r>
        <w:rPr>
          <w:sz w:val="26"/>
          <w:szCs w:val="26"/>
        </w:rPr>
        <w:t xml:space="preserve"> a supplier is always able to submit a drop if they do not wish to serve the customer at a new location</w:t>
      </w:r>
      <w:r w:rsidR="00504B9B">
        <w:rPr>
          <w:sz w:val="26"/>
          <w:szCs w:val="26"/>
        </w:rPr>
        <w:t xml:space="preserve"> – is also responsive to concerns regarding the impact on EGSs</w:t>
      </w:r>
      <w:r>
        <w:rPr>
          <w:sz w:val="26"/>
          <w:szCs w:val="26"/>
        </w:rPr>
        <w:t xml:space="preserve">.  </w:t>
      </w:r>
      <w:r w:rsidR="00624306">
        <w:rPr>
          <w:sz w:val="26"/>
          <w:szCs w:val="26"/>
        </w:rPr>
        <w:t xml:space="preserve">We </w:t>
      </w:r>
      <w:r w:rsidR="00504B9B">
        <w:rPr>
          <w:sz w:val="26"/>
          <w:szCs w:val="26"/>
        </w:rPr>
        <w:t>emphasize</w:t>
      </w:r>
      <w:r w:rsidR="00624306">
        <w:rPr>
          <w:sz w:val="26"/>
          <w:szCs w:val="26"/>
        </w:rPr>
        <w:t xml:space="preserve"> that </w:t>
      </w:r>
      <w:r w:rsidR="00504B9B">
        <w:rPr>
          <w:sz w:val="26"/>
          <w:szCs w:val="26"/>
        </w:rPr>
        <w:t>any</w:t>
      </w:r>
      <w:r w:rsidR="00624306">
        <w:rPr>
          <w:sz w:val="26"/>
          <w:szCs w:val="26"/>
        </w:rPr>
        <w:t xml:space="preserve"> EGS</w:t>
      </w:r>
      <w:r w:rsidR="00EB7B3D">
        <w:rPr>
          <w:sz w:val="26"/>
          <w:szCs w:val="26"/>
        </w:rPr>
        <w:t xml:space="preserve"> </w:t>
      </w:r>
      <w:r w:rsidR="00504B9B">
        <w:rPr>
          <w:sz w:val="26"/>
          <w:szCs w:val="26"/>
        </w:rPr>
        <w:t>which processes a customer drop in a seamless move environment</w:t>
      </w:r>
      <w:r w:rsidR="00624306">
        <w:rPr>
          <w:sz w:val="26"/>
          <w:szCs w:val="26"/>
        </w:rPr>
        <w:t xml:space="preserve"> should be doing so per the terms and conditions of their </w:t>
      </w:r>
      <w:r w:rsidR="00170ED2">
        <w:rPr>
          <w:sz w:val="26"/>
          <w:szCs w:val="26"/>
        </w:rPr>
        <w:t xml:space="preserve">existing </w:t>
      </w:r>
      <w:r w:rsidR="00624306">
        <w:rPr>
          <w:sz w:val="26"/>
          <w:szCs w:val="26"/>
        </w:rPr>
        <w:t xml:space="preserve">agreement with the customer.  Ideally, this should be addressed under the </w:t>
      </w:r>
      <w:r w:rsidR="00624306" w:rsidRPr="00624306">
        <w:rPr>
          <w:i/>
          <w:sz w:val="26"/>
          <w:szCs w:val="26"/>
        </w:rPr>
        <w:t>cancellation</w:t>
      </w:r>
      <w:r w:rsidR="00624306">
        <w:rPr>
          <w:sz w:val="26"/>
          <w:szCs w:val="26"/>
        </w:rPr>
        <w:t xml:space="preserve"> provisions of the disclosure or contract the EGS has with the customer.  </w:t>
      </w:r>
      <w:r w:rsidR="00130F93">
        <w:rPr>
          <w:sz w:val="26"/>
          <w:szCs w:val="26"/>
        </w:rPr>
        <w:t>E</w:t>
      </w:r>
      <w:r w:rsidR="00504B9B">
        <w:rPr>
          <w:sz w:val="26"/>
          <w:szCs w:val="26"/>
        </w:rPr>
        <w:t>xisting supply agreements should not be adversely impacted by implementation of seamless moves</w:t>
      </w:r>
      <w:r w:rsidR="00130F93">
        <w:rPr>
          <w:sz w:val="26"/>
          <w:szCs w:val="26"/>
        </w:rPr>
        <w:t xml:space="preserve"> with all of the foregoing protections in place</w:t>
      </w:r>
      <w:r w:rsidR="00504B9B">
        <w:rPr>
          <w:sz w:val="26"/>
          <w:szCs w:val="26"/>
        </w:rPr>
        <w:t>.</w:t>
      </w:r>
      <w:r w:rsidR="002A5970">
        <w:rPr>
          <w:sz w:val="26"/>
          <w:szCs w:val="26"/>
        </w:rPr>
        <w:t xml:space="preserve">  </w:t>
      </w:r>
    </w:p>
    <w:p w:rsidR="002A5970" w:rsidRDefault="002A5970" w:rsidP="00942229">
      <w:pPr>
        <w:spacing w:line="360" w:lineRule="auto"/>
        <w:ind w:firstLine="720"/>
        <w:rPr>
          <w:sz w:val="26"/>
          <w:szCs w:val="26"/>
        </w:rPr>
      </w:pPr>
    </w:p>
    <w:p w:rsidR="003A207A" w:rsidRDefault="00504B9B" w:rsidP="00942229">
      <w:pPr>
        <w:spacing w:line="360" w:lineRule="auto"/>
        <w:ind w:firstLine="720"/>
        <w:rPr>
          <w:sz w:val="26"/>
          <w:szCs w:val="26"/>
        </w:rPr>
      </w:pPr>
      <w:r>
        <w:rPr>
          <w:sz w:val="26"/>
          <w:szCs w:val="26"/>
        </w:rPr>
        <w:t>W</w:t>
      </w:r>
      <w:r w:rsidR="003A207A">
        <w:rPr>
          <w:sz w:val="26"/>
          <w:szCs w:val="26"/>
        </w:rPr>
        <w:t xml:space="preserve">e </w:t>
      </w:r>
      <w:r>
        <w:rPr>
          <w:sz w:val="26"/>
          <w:szCs w:val="26"/>
        </w:rPr>
        <w:t xml:space="preserve">also </w:t>
      </w:r>
      <w:r w:rsidR="003A207A">
        <w:rPr>
          <w:sz w:val="26"/>
          <w:szCs w:val="26"/>
        </w:rPr>
        <w:t xml:space="preserve">note that seamless moves will </w:t>
      </w:r>
      <w:r w:rsidR="002A5970">
        <w:rPr>
          <w:sz w:val="26"/>
          <w:szCs w:val="26"/>
        </w:rPr>
        <w:t>not be available until July 2</w:t>
      </w:r>
      <w:r w:rsidR="003A207A">
        <w:rPr>
          <w:sz w:val="26"/>
          <w:szCs w:val="26"/>
        </w:rPr>
        <w:t xml:space="preserve">016.  This should provide EGSs with time to consider </w:t>
      </w:r>
      <w:r w:rsidR="002A5970">
        <w:rPr>
          <w:sz w:val="26"/>
          <w:szCs w:val="26"/>
        </w:rPr>
        <w:t>these matters</w:t>
      </w:r>
      <w:r w:rsidR="003A207A">
        <w:rPr>
          <w:sz w:val="26"/>
          <w:szCs w:val="26"/>
        </w:rPr>
        <w:t xml:space="preserve"> when entering into new contracts with new customers.  </w:t>
      </w:r>
      <w:r>
        <w:rPr>
          <w:sz w:val="26"/>
          <w:szCs w:val="26"/>
        </w:rPr>
        <w:t xml:space="preserve">To the extent that an EGS desires to expressly recognize the possibility of seamless moves in future contracts, they are free to do so.  </w:t>
      </w:r>
      <w:r w:rsidR="00414B8F">
        <w:rPr>
          <w:sz w:val="26"/>
          <w:szCs w:val="26"/>
        </w:rPr>
        <w:t xml:space="preserve">In addition, EGSs may pursue modification of existing contracts, with customer agreement.  Regardless of the foregoing, it is the </w:t>
      </w:r>
      <w:r w:rsidR="00170ED2">
        <w:rPr>
          <w:sz w:val="26"/>
          <w:szCs w:val="26"/>
        </w:rPr>
        <w:t xml:space="preserve">desire </w:t>
      </w:r>
      <w:r w:rsidR="00414B8F">
        <w:rPr>
          <w:sz w:val="26"/>
          <w:szCs w:val="26"/>
        </w:rPr>
        <w:t xml:space="preserve">of the customer </w:t>
      </w:r>
      <w:r w:rsidR="00170ED2">
        <w:rPr>
          <w:sz w:val="26"/>
          <w:szCs w:val="26"/>
        </w:rPr>
        <w:t>to retain the current supply terms and conditions</w:t>
      </w:r>
      <w:r w:rsidR="00414B8F">
        <w:rPr>
          <w:sz w:val="26"/>
          <w:szCs w:val="26"/>
        </w:rPr>
        <w:t xml:space="preserve"> that should control, subject to the EGS’s ability to drop that customer as provided in Duquesne’s proposed Plan and consistent with the terms of the existing contract</w:t>
      </w:r>
      <w:r w:rsidR="00D868CC">
        <w:rPr>
          <w:sz w:val="26"/>
          <w:szCs w:val="26"/>
        </w:rPr>
        <w:t xml:space="preserve"> </w:t>
      </w:r>
      <w:r w:rsidR="00AA0AAC">
        <w:rPr>
          <w:sz w:val="26"/>
          <w:szCs w:val="26"/>
        </w:rPr>
        <w:t>as</w:t>
      </w:r>
      <w:r w:rsidR="00D868CC">
        <w:rPr>
          <w:sz w:val="26"/>
          <w:szCs w:val="26"/>
        </w:rPr>
        <w:t xml:space="preserve"> mutually agreed to by both parties</w:t>
      </w:r>
      <w:r w:rsidR="00414B8F">
        <w:rPr>
          <w:sz w:val="26"/>
          <w:szCs w:val="26"/>
        </w:rPr>
        <w:t>.</w:t>
      </w:r>
    </w:p>
    <w:p w:rsidR="003A207A" w:rsidRDefault="003A207A" w:rsidP="00942229">
      <w:pPr>
        <w:spacing w:line="360" w:lineRule="auto"/>
        <w:ind w:firstLine="720"/>
        <w:rPr>
          <w:sz w:val="26"/>
          <w:szCs w:val="26"/>
        </w:rPr>
      </w:pPr>
    </w:p>
    <w:p w:rsidR="00343BC4" w:rsidRDefault="001C20BB" w:rsidP="00942229">
      <w:pPr>
        <w:spacing w:line="360" w:lineRule="auto"/>
        <w:ind w:firstLine="720"/>
        <w:rPr>
          <w:sz w:val="26"/>
          <w:szCs w:val="26"/>
        </w:rPr>
      </w:pPr>
      <w:r>
        <w:rPr>
          <w:sz w:val="26"/>
          <w:szCs w:val="26"/>
        </w:rPr>
        <w:t xml:space="preserve">We also disagree with FES’s position </w:t>
      </w:r>
      <w:r w:rsidR="00414B8F">
        <w:rPr>
          <w:sz w:val="26"/>
          <w:szCs w:val="26"/>
        </w:rPr>
        <w:t>which suggests</w:t>
      </w:r>
      <w:r w:rsidR="00624306">
        <w:rPr>
          <w:sz w:val="26"/>
          <w:szCs w:val="26"/>
        </w:rPr>
        <w:t xml:space="preserve"> a process that enables or requires an EGS to take an action </w:t>
      </w:r>
      <w:r w:rsidR="003A207A">
        <w:rPr>
          <w:sz w:val="26"/>
          <w:szCs w:val="26"/>
        </w:rPr>
        <w:t>to concur or reject a seamless move in advance</w:t>
      </w:r>
      <w:r w:rsidR="00414B8F">
        <w:rPr>
          <w:sz w:val="26"/>
          <w:szCs w:val="26"/>
        </w:rPr>
        <w:t xml:space="preserve">.  This suggestion </w:t>
      </w:r>
      <w:r w:rsidR="00624306">
        <w:rPr>
          <w:sz w:val="26"/>
          <w:szCs w:val="26"/>
        </w:rPr>
        <w:t xml:space="preserve">will </w:t>
      </w:r>
      <w:r w:rsidR="00414B8F">
        <w:rPr>
          <w:sz w:val="26"/>
          <w:szCs w:val="26"/>
        </w:rPr>
        <w:t>render</w:t>
      </w:r>
      <w:r w:rsidR="00624306">
        <w:rPr>
          <w:sz w:val="26"/>
          <w:szCs w:val="26"/>
        </w:rPr>
        <w:t xml:space="preserve"> the move </w:t>
      </w:r>
      <w:r w:rsidR="00624306" w:rsidRPr="00624306">
        <w:rPr>
          <w:i/>
          <w:sz w:val="26"/>
          <w:szCs w:val="26"/>
        </w:rPr>
        <w:t>not</w:t>
      </w:r>
      <w:r w:rsidR="00624306">
        <w:rPr>
          <w:sz w:val="26"/>
          <w:szCs w:val="26"/>
        </w:rPr>
        <w:t xml:space="preserve"> seamless – counter to </w:t>
      </w:r>
      <w:r w:rsidR="00414B8F">
        <w:rPr>
          <w:sz w:val="26"/>
          <w:szCs w:val="26"/>
        </w:rPr>
        <w:t>express intent of this initiative</w:t>
      </w:r>
      <w:r w:rsidR="00624306">
        <w:rPr>
          <w:sz w:val="26"/>
          <w:szCs w:val="26"/>
        </w:rPr>
        <w:t>.</w:t>
      </w:r>
      <w:r w:rsidR="003A207A">
        <w:rPr>
          <w:sz w:val="26"/>
          <w:szCs w:val="26"/>
        </w:rPr>
        <w:t xml:space="preserve">  </w:t>
      </w:r>
      <w:r>
        <w:rPr>
          <w:sz w:val="26"/>
          <w:szCs w:val="26"/>
        </w:rPr>
        <w:t>For th</w:t>
      </w:r>
      <w:r w:rsidR="00414B8F">
        <w:rPr>
          <w:sz w:val="26"/>
          <w:szCs w:val="26"/>
        </w:rPr>
        <w:t>e</w:t>
      </w:r>
      <w:r>
        <w:rPr>
          <w:sz w:val="26"/>
          <w:szCs w:val="26"/>
        </w:rPr>
        <w:t xml:space="preserve"> same reason, we also decline </w:t>
      </w:r>
      <w:r w:rsidR="00E1692C">
        <w:rPr>
          <w:sz w:val="26"/>
          <w:szCs w:val="26"/>
        </w:rPr>
        <w:t xml:space="preserve">the </w:t>
      </w:r>
      <w:r>
        <w:rPr>
          <w:sz w:val="26"/>
          <w:szCs w:val="26"/>
        </w:rPr>
        <w:t>OCA’s request to require EGSs to send a confirmation letter to the customer stating that it will/will not continue to serve the customer at the new address.  EGSs are of course free to send such a notice to their customers</w:t>
      </w:r>
      <w:r w:rsidR="00E1692C">
        <w:rPr>
          <w:sz w:val="26"/>
          <w:szCs w:val="26"/>
        </w:rPr>
        <w:t xml:space="preserve">, </w:t>
      </w:r>
      <w:r>
        <w:rPr>
          <w:sz w:val="26"/>
          <w:szCs w:val="26"/>
        </w:rPr>
        <w:t>but requiring such</w:t>
      </w:r>
      <w:r w:rsidR="00414B8F">
        <w:rPr>
          <w:sz w:val="26"/>
          <w:szCs w:val="26"/>
        </w:rPr>
        <w:t xml:space="preserve"> a notice</w:t>
      </w:r>
      <w:r>
        <w:rPr>
          <w:sz w:val="26"/>
          <w:szCs w:val="26"/>
        </w:rPr>
        <w:t xml:space="preserve"> is unnecessary.  Duquesne </w:t>
      </w:r>
      <w:r w:rsidR="00414B8F">
        <w:rPr>
          <w:sz w:val="26"/>
          <w:szCs w:val="26"/>
        </w:rPr>
        <w:t>explains</w:t>
      </w:r>
      <w:r>
        <w:rPr>
          <w:sz w:val="26"/>
          <w:szCs w:val="26"/>
        </w:rPr>
        <w:t xml:space="preserve"> that it</w:t>
      </w:r>
      <w:r w:rsidRPr="002A0C3B">
        <w:rPr>
          <w:sz w:val="26"/>
          <w:szCs w:val="26"/>
        </w:rPr>
        <w:t xml:space="preserve"> will </w:t>
      </w:r>
      <w:r w:rsidRPr="002A0C3B">
        <w:rPr>
          <w:sz w:val="26"/>
          <w:szCs w:val="26"/>
        </w:rPr>
        <w:lastRenderedPageBreak/>
        <w:t xml:space="preserve">advise the customer that </w:t>
      </w:r>
      <w:r w:rsidR="00E1692C">
        <w:rPr>
          <w:sz w:val="26"/>
          <w:szCs w:val="26"/>
        </w:rPr>
        <w:t>his or her</w:t>
      </w:r>
      <w:r w:rsidR="00E1692C" w:rsidRPr="002A0C3B">
        <w:rPr>
          <w:sz w:val="26"/>
          <w:szCs w:val="26"/>
        </w:rPr>
        <w:t xml:space="preserve"> </w:t>
      </w:r>
      <w:r w:rsidRPr="002A0C3B">
        <w:rPr>
          <w:sz w:val="26"/>
          <w:szCs w:val="26"/>
        </w:rPr>
        <w:t>EGS supply service will seamlessly move to their new location</w:t>
      </w:r>
      <w:r>
        <w:rPr>
          <w:sz w:val="26"/>
          <w:szCs w:val="26"/>
        </w:rPr>
        <w:t xml:space="preserve"> and we think this notice should suffice.  However, if an EGS is going to subsequently drop the customer per the cancellation provisions of the contract (as discussed above)</w:t>
      </w:r>
      <w:proofErr w:type="gramStart"/>
      <w:r w:rsidR="006522D3">
        <w:rPr>
          <w:sz w:val="26"/>
          <w:szCs w:val="26"/>
        </w:rPr>
        <w:t>,</w:t>
      </w:r>
      <w:proofErr w:type="gramEnd"/>
      <w:r>
        <w:rPr>
          <w:sz w:val="26"/>
          <w:szCs w:val="26"/>
        </w:rPr>
        <w:t xml:space="preserve"> then notice of this drop to the customer is</w:t>
      </w:r>
      <w:r w:rsidR="00414B8F">
        <w:rPr>
          <w:sz w:val="26"/>
          <w:szCs w:val="26"/>
        </w:rPr>
        <w:t>,</w:t>
      </w:r>
      <w:r>
        <w:rPr>
          <w:sz w:val="26"/>
          <w:szCs w:val="26"/>
        </w:rPr>
        <w:t xml:space="preserve"> of course</w:t>
      </w:r>
      <w:r w:rsidR="00414B8F">
        <w:rPr>
          <w:sz w:val="26"/>
          <w:szCs w:val="26"/>
        </w:rPr>
        <w:t>,</w:t>
      </w:r>
      <w:r>
        <w:rPr>
          <w:sz w:val="26"/>
          <w:szCs w:val="26"/>
        </w:rPr>
        <w:t xml:space="preserve"> required.   </w:t>
      </w:r>
    </w:p>
    <w:p w:rsidR="00343BC4" w:rsidRPr="00942229" w:rsidRDefault="00343BC4" w:rsidP="00942229">
      <w:pPr>
        <w:spacing w:line="360" w:lineRule="auto"/>
        <w:ind w:firstLine="720"/>
        <w:rPr>
          <w:sz w:val="26"/>
          <w:szCs w:val="26"/>
        </w:rPr>
      </w:pPr>
    </w:p>
    <w:p w:rsidR="00942229" w:rsidRDefault="00A612FC" w:rsidP="00942229">
      <w:pPr>
        <w:spacing w:line="360" w:lineRule="auto"/>
        <w:ind w:firstLine="720"/>
        <w:rPr>
          <w:sz w:val="26"/>
          <w:szCs w:val="26"/>
        </w:rPr>
      </w:pPr>
      <w:r>
        <w:rPr>
          <w:sz w:val="26"/>
          <w:szCs w:val="26"/>
        </w:rPr>
        <w:t xml:space="preserve">While we understand </w:t>
      </w:r>
      <w:r w:rsidR="00343BC4" w:rsidRPr="004551AD">
        <w:rPr>
          <w:sz w:val="26"/>
          <w:szCs w:val="26"/>
        </w:rPr>
        <w:t>Citizen Power</w:t>
      </w:r>
      <w:r>
        <w:rPr>
          <w:sz w:val="26"/>
          <w:szCs w:val="26"/>
        </w:rPr>
        <w:t>’s position</w:t>
      </w:r>
      <w:r w:rsidR="00343BC4" w:rsidRPr="004551AD">
        <w:rPr>
          <w:sz w:val="26"/>
          <w:szCs w:val="26"/>
        </w:rPr>
        <w:t xml:space="preserve"> that the </w:t>
      </w:r>
      <w:r w:rsidR="006522D3">
        <w:rPr>
          <w:sz w:val="26"/>
          <w:szCs w:val="26"/>
        </w:rPr>
        <w:t>three</w:t>
      </w:r>
      <w:r>
        <w:rPr>
          <w:sz w:val="26"/>
          <w:szCs w:val="26"/>
        </w:rPr>
        <w:t>-</w:t>
      </w:r>
      <w:r w:rsidR="00343BC4" w:rsidRPr="004551AD">
        <w:rPr>
          <w:sz w:val="26"/>
          <w:szCs w:val="26"/>
        </w:rPr>
        <w:t xml:space="preserve">day maximum gap in </w:t>
      </w:r>
      <w:r w:rsidRPr="004551AD">
        <w:rPr>
          <w:sz w:val="26"/>
          <w:szCs w:val="26"/>
        </w:rPr>
        <w:t>service should</w:t>
      </w:r>
      <w:r w:rsidR="00343BC4" w:rsidRPr="004551AD">
        <w:rPr>
          <w:sz w:val="26"/>
          <w:szCs w:val="26"/>
        </w:rPr>
        <w:t xml:space="preserve"> be expanded to </w:t>
      </w:r>
      <w:r w:rsidR="006522D3">
        <w:rPr>
          <w:sz w:val="26"/>
          <w:szCs w:val="26"/>
        </w:rPr>
        <w:t>seven</w:t>
      </w:r>
      <w:r w:rsidR="00343BC4" w:rsidRPr="004551AD">
        <w:rPr>
          <w:sz w:val="26"/>
          <w:szCs w:val="26"/>
        </w:rPr>
        <w:t xml:space="preserve"> days because </w:t>
      </w:r>
      <w:r>
        <w:rPr>
          <w:sz w:val="26"/>
          <w:szCs w:val="26"/>
        </w:rPr>
        <w:t xml:space="preserve">of possible complications in the </w:t>
      </w:r>
      <w:r w:rsidR="00343BC4" w:rsidRPr="004551AD">
        <w:rPr>
          <w:sz w:val="26"/>
          <w:szCs w:val="26"/>
        </w:rPr>
        <w:t xml:space="preserve">real </w:t>
      </w:r>
      <w:r w:rsidRPr="004551AD">
        <w:rPr>
          <w:sz w:val="26"/>
          <w:szCs w:val="26"/>
        </w:rPr>
        <w:t>estate</w:t>
      </w:r>
      <w:r>
        <w:rPr>
          <w:sz w:val="26"/>
          <w:szCs w:val="26"/>
        </w:rPr>
        <w:t xml:space="preserve"> </w:t>
      </w:r>
      <w:r w:rsidRPr="004551AD">
        <w:rPr>
          <w:sz w:val="26"/>
          <w:szCs w:val="26"/>
        </w:rPr>
        <w:t>transactions</w:t>
      </w:r>
      <w:r>
        <w:rPr>
          <w:sz w:val="26"/>
          <w:szCs w:val="26"/>
        </w:rPr>
        <w:t xml:space="preserve"> process</w:t>
      </w:r>
      <w:r w:rsidR="006522D3">
        <w:rPr>
          <w:sz w:val="26"/>
          <w:szCs w:val="26"/>
        </w:rPr>
        <w:t>,</w:t>
      </w:r>
      <w:r>
        <w:rPr>
          <w:sz w:val="26"/>
          <w:szCs w:val="26"/>
        </w:rPr>
        <w:t xml:space="preserve"> we question whether the occurrence of these types of situations is common enough to require Duquesne to alter their plan.  We </w:t>
      </w:r>
      <w:r w:rsidR="0046067E">
        <w:rPr>
          <w:sz w:val="26"/>
          <w:szCs w:val="26"/>
        </w:rPr>
        <w:t>approve</w:t>
      </w:r>
      <w:r>
        <w:rPr>
          <w:sz w:val="26"/>
          <w:szCs w:val="26"/>
        </w:rPr>
        <w:t xml:space="preserve"> </w:t>
      </w:r>
      <w:r w:rsidR="00EB7B3D">
        <w:rPr>
          <w:sz w:val="26"/>
          <w:szCs w:val="26"/>
        </w:rPr>
        <w:t>Duquesne’s plan</w:t>
      </w:r>
      <w:r>
        <w:rPr>
          <w:sz w:val="26"/>
          <w:szCs w:val="26"/>
        </w:rPr>
        <w:t xml:space="preserve"> and the </w:t>
      </w:r>
      <w:r w:rsidR="006522D3">
        <w:rPr>
          <w:sz w:val="26"/>
          <w:szCs w:val="26"/>
        </w:rPr>
        <w:t>three</w:t>
      </w:r>
      <w:r>
        <w:rPr>
          <w:sz w:val="26"/>
          <w:szCs w:val="26"/>
        </w:rPr>
        <w:t>-day window</w:t>
      </w:r>
      <w:r w:rsidR="006522D3">
        <w:rPr>
          <w:sz w:val="26"/>
          <w:szCs w:val="26"/>
        </w:rPr>
        <w:t>,</w:t>
      </w:r>
      <w:r>
        <w:rPr>
          <w:sz w:val="26"/>
          <w:szCs w:val="26"/>
        </w:rPr>
        <w:t xml:space="preserve"> keeping in mind that this can be revisited in the future if experience demonstrates this to be a </w:t>
      </w:r>
      <w:r w:rsidR="00580775">
        <w:rPr>
          <w:sz w:val="26"/>
          <w:szCs w:val="26"/>
        </w:rPr>
        <w:t xml:space="preserve">problem.  </w:t>
      </w:r>
      <w:r>
        <w:rPr>
          <w:sz w:val="26"/>
          <w:szCs w:val="26"/>
        </w:rPr>
        <w:t xml:space="preserve"> </w:t>
      </w:r>
    </w:p>
    <w:p w:rsidR="00D37B67" w:rsidRDefault="00D37B67" w:rsidP="00942229">
      <w:pPr>
        <w:spacing w:line="360" w:lineRule="auto"/>
        <w:ind w:firstLine="720"/>
        <w:rPr>
          <w:sz w:val="26"/>
          <w:szCs w:val="26"/>
        </w:rPr>
      </w:pPr>
    </w:p>
    <w:p w:rsidR="00D977C4" w:rsidRDefault="00D37B67">
      <w:pPr>
        <w:spacing w:line="360" w:lineRule="auto"/>
        <w:ind w:firstLine="720"/>
        <w:rPr>
          <w:sz w:val="26"/>
          <w:szCs w:val="26"/>
        </w:rPr>
      </w:pPr>
      <w:r>
        <w:rPr>
          <w:sz w:val="26"/>
          <w:szCs w:val="26"/>
        </w:rPr>
        <w:t xml:space="preserve">As for cost recovery, we disagree with </w:t>
      </w:r>
      <w:r w:rsidR="006522D3">
        <w:rPr>
          <w:sz w:val="26"/>
          <w:szCs w:val="26"/>
        </w:rPr>
        <w:t xml:space="preserve">the </w:t>
      </w:r>
      <w:r w:rsidRPr="004551AD">
        <w:rPr>
          <w:sz w:val="26"/>
          <w:szCs w:val="26"/>
        </w:rPr>
        <w:t>OCA</w:t>
      </w:r>
      <w:r>
        <w:rPr>
          <w:sz w:val="26"/>
          <w:szCs w:val="26"/>
        </w:rPr>
        <w:t xml:space="preserve">’s primary position that </w:t>
      </w:r>
      <w:r w:rsidRPr="004551AD">
        <w:rPr>
          <w:sz w:val="26"/>
          <w:szCs w:val="26"/>
        </w:rPr>
        <w:t>costs should be borne by the EGSs</w:t>
      </w:r>
      <w:r>
        <w:rPr>
          <w:sz w:val="26"/>
          <w:szCs w:val="26"/>
        </w:rPr>
        <w:t>.  While EGSs will obtain some benefit from these processes</w:t>
      </w:r>
      <w:r w:rsidR="00374A97">
        <w:rPr>
          <w:sz w:val="26"/>
          <w:szCs w:val="26"/>
        </w:rPr>
        <w:t>,</w:t>
      </w:r>
      <w:r>
        <w:rPr>
          <w:sz w:val="26"/>
          <w:szCs w:val="26"/>
        </w:rPr>
        <w:t xml:space="preserve"> customers will also benefit.  </w:t>
      </w:r>
      <w:r w:rsidR="00374A97">
        <w:rPr>
          <w:sz w:val="26"/>
          <w:szCs w:val="26"/>
        </w:rPr>
        <w:t>The s</w:t>
      </w:r>
      <w:r>
        <w:rPr>
          <w:sz w:val="26"/>
          <w:szCs w:val="26"/>
        </w:rPr>
        <w:t>eamless move and instant connect functionality will not only benefit current shopping customers</w:t>
      </w:r>
      <w:r w:rsidR="00374A97">
        <w:rPr>
          <w:sz w:val="26"/>
          <w:szCs w:val="26"/>
        </w:rPr>
        <w:t>,</w:t>
      </w:r>
      <w:r>
        <w:rPr>
          <w:sz w:val="26"/>
          <w:szCs w:val="26"/>
        </w:rPr>
        <w:t xml:space="preserve"> </w:t>
      </w:r>
      <w:r w:rsidR="00374A97">
        <w:rPr>
          <w:sz w:val="26"/>
          <w:szCs w:val="26"/>
        </w:rPr>
        <w:t xml:space="preserve">it </w:t>
      </w:r>
      <w:r>
        <w:rPr>
          <w:sz w:val="26"/>
          <w:szCs w:val="26"/>
        </w:rPr>
        <w:t xml:space="preserve">will be available for all </w:t>
      </w:r>
      <w:r w:rsidR="00D54FAE">
        <w:rPr>
          <w:sz w:val="26"/>
          <w:szCs w:val="26"/>
        </w:rPr>
        <w:t xml:space="preserve">eligible </w:t>
      </w:r>
      <w:r>
        <w:rPr>
          <w:sz w:val="26"/>
          <w:szCs w:val="26"/>
        </w:rPr>
        <w:t>customers.  These enhancements are permanent improvements that</w:t>
      </w:r>
      <w:r w:rsidR="00F201B3">
        <w:rPr>
          <w:sz w:val="26"/>
          <w:szCs w:val="26"/>
        </w:rPr>
        <w:t>,</w:t>
      </w:r>
      <w:r>
        <w:rPr>
          <w:sz w:val="26"/>
          <w:szCs w:val="26"/>
        </w:rPr>
        <w:t xml:space="preserve"> to a large extent</w:t>
      </w:r>
      <w:r w:rsidR="00F201B3">
        <w:rPr>
          <w:sz w:val="26"/>
          <w:szCs w:val="26"/>
        </w:rPr>
        <w:t>,</w:t>
      </w:r>
      <w:r>
        <w:rPr>
          <w:sz w:val="26"/>
          <w:szCs w:val="26"/>
        </w:rPr>
        <w:t xml:space="preserve"> are </w:t>
      </w:r>
      <w:r w:rsidR="00265294">
        <w:rPr>
          <w:sz w:val="26"/>
          <w:szCs w:val="26"/>
        </w:rPr>
        <w:t xml:space="preserve">simply </w:t>
      </w:r>
      <w:r>
        <w:rPr>
          <w:sz w:val="26"/>
          <w:szCs w:val="26"/>
        </w:rPr>
        <w:t xml:space="preserve">correcting an unacceptable status quo due to </w:t>
      </w:r>
      <w:r w:rsidR="0046067E">
        <w:rPr>
          <w:sz w:val="26"/>
          <w:szCs w:val="26"/>
        </w:rPr>
        <w:t xml:space="preserve">existing </w:t>
      </w:r>
      <w:r>
        <w:rPr>
          <w:sz w:val="26"/>
          <w:szCs w:val="26"/>
        </w:rPr>
        <w:t xml:space="preserve">limitations in utility customer information systems.  For these reasons, we agree with </w:t>
      </w:r>
      <w:r w:rsidR="00265294">
        <w:rPr>
          <w:sz w:val="26"/>
          <w:szCs w:val="26"/>
        </w:rPr>
        <w:t xml:space="preserve">the </w:t>
      </w:r>
      <w:r>
        <w:rPr>
          <w:sz w:val="26"/>
          <w:szCs w:val="26"/>
        </w:rPr>
        <w:t xml:space="preserve">OCA’s secondary position </w:t>
      </w:r>
      <w:r w:rsidRPr="004551AD">
        <w:rPr>
          <w:sz w:val="26"/>
          <w:szCs w:val="26"/>
        </w:rPr>
        <w:t>that the</w:t>
      </w:r>
      <w:r>
        <w:rPr>
          <w:sz w:val="26"/>
          <w:szCs w:val="26"/>
        </w:rPr>
        <w:t>se</w:t>
      </w:r>
      <w:r w:rsidRPr="004551AD">
        <w:rPr>
          <w:sz w:val="26"/>
          <w:szCs w:val="26"/>
        </w:rPr>
        <w:t xml:space="preserve"> cost</w:t>
      </w:r>
      <w:r w:rsidR="00D977C4">
        <w:rPr>
          <w:sz w:val="26"/>
          <w:szCs w:val="26"/>
        </w:rPr>
        <w:t>s</w:t>
      </w:r>
      <w:r w:rsidRPr="004551AD">
        <w:rPr>
          <w:sz w:val="26"/>
          <w:szCs w:val="26"/>
        </w:rPr>
        <w:t xml:space="preserve"> should be included in base rates.</w:t>
      </w:r>
      <w:r w:rsidR="00D977C4">
        <w:rPr>
          <w:sz w:val="26"/>
          <w:szCs w:val="26"/>
        </w:rPr>
        <w:t xml:space="preserve">  The scrutiny of a base rate proceeding is</w:t>
      </w:r>
      <w:r w:rsidR="00D11382">
        <w:rPr>
          <w:sz w:val="26"/>
          <w:szCs w:val="26"/>
        </w:rPr>
        <w:t xml:space="preserve"> the</w:t>
      </w:r>
      <w:r w:rsidR="00D977C4">
        <w:rPr>
          <w:sz w:val="26"/>
          <w:szCs w:val="26"/>
        </w:rPr>
        <w:t xml:space="preserve"> appropriate mechanism to ensure that utilities will recover all </w:t>
      </w:r>
      <w:r w:rsidR="00D11382">
        <w:rPr>
          <w:sz w:val="26"/>
          <w:szCs w:val="26"/>
        </w:rPr>
        <w:t xml:space="preserve">prudent and </w:t>
      </w:r>
      <w:r w:rsidR="00D977C4">
        <w:rPr>
          <w:sz w:val="26"/>
          <w:szCs w:val="26"/>
        </w:rPr>
        <w:t xml:space="preserve">reasonably-incurred costs.  </w:t>
      </w:r>
      <w:r w:rsidR="00265294">
        <w:rPr>
          <w:sz w:val="26"/>
          <w:szCs w:val="26"/>
        </w:rPr>
        <w:t>A</w:t>
      </w:r>
      <w:r w:rsidR="00D977C4">
        <w:rPr>
          <w:sz w:val="26"/>
          <w:szCs w:val="26"/>
        </w:rPr>
        <w:t xml:space="preserve">s </w:t>
      </w:r>
      <w:r w:rsidR="00265294">
        <w:rPr>
          <w:sz w:val="26"/>
          <w:szCs w:val="26"/>
        </w:rPr>
        <w:t xml:space="preserve">the </w:t>
      </w:r>
      <w:r w:rsidR="00D977C4">
        <w:rPr>
          <w:sz w:val="26"/>
          <w:szCs w:val="26"/>
        </w:rPr>
        <w:t xml:space="preserve">OCA points out, this is consistent with </w:t>
      </w:r>
      <w:r w:rsidRPr="004551AD">
        <w:rPr>
          <w:sz w:val="26"/>
          <w:szCs w:val="26"/>
        </w:rPr>
        <w:t xml:space="preserve">recent </w:t>
      </w:r>
      <w:r w:rsidR="00D977C4">
        <w:rPr>
          <w:sz w:val="26"/>
          <w:szCs w:val="26"/>
        </w:rPr>
        <w:t xml:space="preserve">Commission </w:t>
      </w:r>
      <w:r w:rsidRPr="004551AD">
        <w:rPr>
          <w:sz w:val="26"/>
          <w:szCs w:val="26"/>
        </w:rPr>
        <w:t xml:space="preserve">decisions on the costs associated with accelerated switching. </w:t>
      </w:r>
      <w:r w:rsidR="00D11382">
        <w:rPr>
          <w:sz w:val="26"/>
          <w:szCs w:val="26"/>
        </w:rPr>
        <w:t xml:space="preserve"> </w:t>
      </w:r>
    </w:p>
    <w:p w:rsidR="00D11382" w:rsidRDefault="00D11382" w:rsidP="00942229">
      <w:pPr>
        <w:spacing w:line="360" w:lineRule="auto"/>
        <w:ind w:firstLine="720"/>
        <w:rPr>
          <w:sz w:val="26"/>
          <w:szCs w:val="26"/>
        </w:rPr>
      </w:pPr>
    </w:p>
    <w:p w:rsidR="00D977C4" w:rsidRPr="00566308" w:rsidRDefault="00D977C4" w:rsidP="00D977C4">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p>
    <w:p w:rsidR="00D977C4" w:rsidRPr="00566308" w:rsidRDefault="00D977C4" w:rsidP="00D977C4">
      <w:pPr>
        <w:spacing w:line="360" w:lineRule="auto"/>
        <w:jc w:val="center"/>
        <w:rPr>
          <w:b/>
          <w:spacing w:val="-3"/>
          <w:sz w:val="26"/>
          <w:szCs w:val="26"/>
        </w:rPr>
      </w:pPr>
    </w:p>
    <w:p w:rsidR="00D977C4" w:rsidRDefault="00D977C4" w:rsidP="00D977C4">
      <w:pPr>
        <w:spacing w:line="360" w:lineRule="auto"/>
        <w:rPr>
          <w:sz w:val="26"/>
          <w:szCs w:val="26"/>
        </w:rPr>
      </w:pPr>
      <w:r w:rsidRPr="00566308">
        <w:rPr>
          <w:spacing w:val="-3"/>
          <w:sz w:val="26"/>
          <w:szCs w:val="26"/>
        </w:rPr>
        <w:tab/>
      </w:r>
      <w:r w:rsidR="00211EF8">
        <w:rPr>
          <w:sz w:val="26"/>
          <w:szCs w:val="26"/>
        </w:rPr>
        <w:t>T</w:t>
      </w:r>
      <w:r w:rsidRPr="00522FC0">
        <w:rPr>
          <w:sz w:val="26"/>
          <w:szCs w:val="26"/>
        </w:rPr>
        <w:t xml:space="preserve">he Commission </w:t>
      </w:r>
      <w:r>
        <w:rPr>
          <w:sz w:val="26"/>
          <w:szCs w:val="26"/>
        </w:rPr>
        <w:t>approves Duquesne Light</w:t>
      </w:r>
      <w:r w:rsidR="00211EF8">
        <w:rPr>
          <w:sz w:val="26"/>
          <w:szCs w:val="26"/>
        </w:rPr>
        <w:t xml:space="preserve"> Company</w:t>
      </w:r>
      <w:r>
        <w:rPr>
          <w:sz w:val="26"/>
          <w:szCs w:val="26"/>
        </w:rPr>
        <w:t>’s plan</w:t>
      </w:r>
      <w:r w:rsidR="00211EF8">
        <w:rPr>
          <w:sz w:val="26"/>
          <w:szCs w:val="26"/>
        </w:rPr>
        <w:t>, filed on April 20, 2015,</w:t>
      </w:r>
      <w:r>
        <w:rPr>
          <w:sz w:val="26"/>
          <w:szCs w:val="26"/>
        </w:rPr>
        <w:t xml:space="preserve"> for implementing seamless moves and instant connects in </w:t>
      </w:r>
      <w:r w:rsidR="00265294">
        <w:rPr>
          <w:sz w:val="26"/>
          <w:szCs w:val="26"/>
        </w:rPr>
        <w:t xml:space="preserve">its </w:t>
      </w:r>
      <w:r>
        <w:rPr>
          <w:sz w:val="26"/>
          <w:szCs w:val="26"/>
        </w:rPr>
        <w:t xml:space="preserve">service territory by July 1, 2016.  </w:t>
      </w:r>
      <w:r w:rsidRPr="00522FC0">
        <w:rPr>
          <w:sz w:val="26"/>
          <w:szCs w:val="26"/>
        </w:rPr>
        <w:t xml:space="preserve"> </w:t>
      </w:r>
    </w:p>
    <w:p w:rsidR="00D977C4" w:rsidRDefault="00D977C4" w:rsidP="00D977C4">
      <w:pPr>
        <w:spacing w:line="360" w:lineRule="auto"/>
        <w:rPr>
          <w:sz w:val="26"/>
          <w:szCs w:val="26"/>
        </w:rPr>
      </w:pPr>
    </w:p>
    <w:p w:rsidR="00D977C4" w:rsidRPr="008F5246" w:rsidRDefault="00D977C4" w:rsidP="00D977C4">
      <w:pPr>
        <w:spacing w:line="360" w:lineRule="auto"/>
        <w:rPr>
          <w:b/>
          <w:sz w:val="26"/>
          <w:szCs w:val="26"/>
        </w:rPr>
      </w:pPr>
      <w:r w:rsidRPr="008F5246">
        <w:rPr>
          <w:b/>
          <w:sz w:val="26"/>
          <w:szCs w:val="26"/>
        </w:rPr>
        <w:t>THEREFORE,</w:t>
      </w:r>
    </w:p>
    <w:p w:rsidR="00D977C4" w:rsidRPr="008F5246" w:rsidRDefault="00D977C4" w:rsidP="00D977C4">
      <w:pPr>
        <w:spacing w:line="360" w:lineRule="auto"/>
        <w:rPr>
          <w:spacing w:val="-3"/>
          <w:sz w:val="26"/>
          <w:szCs w:val="26"/>
        </w:rPr>
      </w:pPr>
    </w:p>
    <w:p w:rsidR="00D977C4" w:rsidRPr="000303AC" w:rsidRDefault="00D977C4" w:rsidP="00D977C4">
      <w:pPr>
        <w:tabs>
          <w:tab w:val="left" w:pos="0"/>
        </w:tabs>
        <w:spacing w:line="360" w:lineRule="auto"/>
        <w:rPr>
          <w:b/>
          <w:sz w:val="26"/>
          <w:szCs w:val="26"/>
        </w:rPr>
      </w:pPr>
      <w:r w:rsidRPr="008F5246">
        <w:rPr>
          <w:b/>
          <w:sz w:val="26"/>
          <w:szCs w:val="26"/>
        </w:rPr>
        <w:tab/>
        <w:t>IT IS ORDERED:</w:t>
      </w:r>
      <w:r w:rsidRPr="000303AC">
        <w:rPr>
          <w:b/>
          <w:sz w:val="26"/>
          <w:szCs w:val="26"/>
        </w:rPr>
        <w:t xml:space="preserve">  </w:t>
      </w:r>
    </w:p>
    <w:p w:rsidR="00D977C4" w:rsidRPr="000303AC" w:rsidRDefault="00D977C4" w:rsidP="00D977C4">
      <w:pPr>
        <w:tabs>
          <w:tab w:val="left" w:pos="0"/>
        </w:tabs>
        <w:spacing w:line="360" w:lineRule="auto"/>
        <w:rPr>
          <w:sz w:val="26"/>
          <w:szCs w:val="26"/>
        </w:rPr>
      </w:pPr>
    </w:p>
    <w:p w:rsidR="00D977C4" w:rsidRDefault="00D977C4" w:rsidP="00D977C4">
      <w:pPr>
        <w:spacing w:line="360" w:lineRule="auto"/>
        <w:rPr>
          <w:sz w:val="26"/>
        </w:rPr>
      </w:pPr>
      <w:r w:rsidRPr="000303AC">
        <w:rPr>
          <w:sz w:val="26"/>
        </w:rPr>
        <w:t xml:space="preserve">           </w:t>
      </w:r>
      <w:r w:rsidRPr="000303AC">
        <w:rPr>
          <w:sz w:val="26"/>
        </w:rPr>
        <w:tab/>
        <w:t xml:space="preserve">1.  That </w:t>
      </w:r>
      <w:r>
        <w:rPr>
          <w:sz w:val="26"/>
        </w:rPr>
        <w:t xml:space="preserve">Duquesne Light </w:t>
      </w:r>
      <w:r w:rsidR="00211EF8">
        <w:rPr>
          <w:sz w:val="26"/>
        </w:rPr>
        <w:t xml:space="preserve">Company </w:t>
      </w:r>
      <w:r>
        <w:rPr>
          <w:sz w:val="26"/>
        </w:rPr>
        <w:t xml:space="preserve">shall implement seamless moves and instant connects in </w:t>
      </w:r>
      <w:r w:rsidR="00473817">
        <w:rPr>
          <w:sz w:val="26"/>
        </w:rPr>
        <w:t xml:space="preserve">its </w:t>
      </w:r>
      <w:r>
        <w:rPr>
          <w:sz w:val="26"/>
        </w:rPr>
        <w:t>service territory by July 1, 2016</w:t>
      </w:r>
      <w:r w:rsidR="00211EF8">
        <w:rPr>
          <w:sz w:val="26"/>
        </w:rPr>
        <w:t>,</w:t>
      </w:r>
      <w:r>
        <w:rPr>
          <w:sz w:val="26"/>
        </w:rPr>
        <w:t xml:space="preserve"> as described in their April 20, 2015 filing at this docket.  </w:t>
      </w:r>
    </w:p>
    <w:p w:rsidR="00D977C4" w:rsidRPr="000303AC" w:rsidRDefault="00D977C4" w:rsidP="00D977C4">
      <w:pPr>
        <w:spacing w:line="360" w:lineRule="auto"/>
        <w:rPr>
          <w:sz w:val="26"/>
        </w:rPr>
      </w:pPr>
    </w:p>
    <w:p w:rsidR="003B1CB6" w:rsidRPr="003B1CB6" w:rsidRDefault="00D977C4" w:rsidP="003B1CB6">
      <w:pPr>
        <w:spacing w:line="360" w:lineRule="auto"/>
        <w:rPr>
          <w:sz w:val="26"/>
        </w:rPr>
      </w:pPr>
      <w:r w:rsidRPr="000303AC">
        <w:rPr>
          <w:sz w:val="26"/>
        </w:rPr>
        <w:tab/>
        <w:t xml:space="preserve">2.  </w:t>
      </w:r>
      <w:r w:rsidR="003B1CB6" w:rsidRPr="003B1CB6">
        <w:rPr>
          <w:sz w:val="26"/>
        </w:rPr>
        <w:t xml:space="preserve">That Duquesne Light Company shall file with the Commission for its review and </w:t>
      </w:r>
      <w:proofErr w:type="gramStart"/>
      <w:r w:rsidR="003B1CB6" w:rsidRPr="003B1CB6">
        <w:rPr>
          <w:sz w:val="26"/>
        </w:rPr>
        <w:t>approval revised tariff supplements consistent with the terms of this Order at least 30 days prior to the availability of seamless move and instant connect</w:t>
      </w:r>
      <w:proofErr w:type="gramEnd"/>
      <w:r w:rsidR="003B1CB6" w:rsidRPr="003B1CB6">
        <w:rPr>
          <w:sz w:val="26"/>
        </w:rPr>
        <w:t xml:space="preserve"> functions within its service territory.</w:t>
      </w:r>
    </w:p>
    <w:p w:rsidR="00D977C4" w:rsidRDefault="00D977C4" w:rsidP="00D977C4">
      <w:pPr>
        <w:spacing w:line="360" w:lineRule="auto"/>
        <w:rPr>
          <w:sz w:val="26"/>
          <w:szCs w:val="26"/>
        </w:rPr>
      </w:pPr>
      <w:r>
        <w:rPr>
          <w:sz w:val="26"/>
          <w:szCs w:val="26"/>
        </w:rPr>
        <w:tab/>
      </w:r>
    </w:p>
    <w:p w:rsidR="00B95FCC" w:rsidRDefault="00D977C4" w:rsidP="00D977C4">
      <w:pPr>
        <w:spacing w:line="360" w:lineRule="auto"/>
        <w:rPr>
          <w:sz w:val="26"/>
          <w:szCs w:val="26"/>
        </w:rPr>
      </w:pPr>
      <w:r>
        <w:rPr>
          <w:sz w:val="26"/>
          <w:szCs w:val="26"/>
        </w:rPr>
        <w:tab/>
      </w:r>
      <w:r w:rsidR="00D96C7A">
        <w:rPr>
          <w:sz w:val="26"/>
          <w:szCs w:val="26"/>
        </w:rPr>
        <w:t>3</w:t>
      </w:r>
      <w:r>
        <w:rPr>
          <w:sz w:val="26"/>
          <w:szCs w:val="26"/>
        </w:rPr>
        <w:t xml:space="preserve">.  </w:t>
      </w:r>
      <w:r w:rsidRPr="00F03CBD">
        <w:rPr>
          <w:sz w:val="26"/>
          <w:szCs w:val="26"/>
        </w:rPr>
        <w:t xml:space="preserve">That this </w:t>
      </w:r>
      <w:r>
        <w:rPr>
          <w:sz w:val="26"/>
          <w:szCs w:val="26"/>
        </w:rPr>
        <w:t>Final</w:t>
      </w:r>
      <w:r w:rsidRPr="00F03CBD">
        <w:rPr>
          <w:sz w:val="26"/>
          <w:szCs w:val="26"/>
        </w:rPr>
        <w:t xml:space="preserve"> Order be served on all</w:t>
      </w:r>
      <w:r>
        <w:rPr>
          <w:sz w:val="26"/>
          <w:szCs w:val="26"/>
        </w:rPr>
        <w:t xml:space="preserve"> jurisdictional</w:t>
      </w:r>
      <w:r w:rsidRPr="00F03CBD">
        <w:rPr>
          <w:sz w:val="26"/>
          <w:szCs w:val="26"/>
        </w:rPr>
        <w:t xml:space="preserve"> </w:t>
      </w:r>
      <w:r w:rsidR="00D96C7A">
        <w:rPr>
          <w:sz w:val="26"/>
          <w:szCs w:val="26"/>
        </w:rPr>
        <w:t>Electric</w:t>
      </w:r>
      <w:r w:rsidRPr="00F03CBD">
        <w:rPr>
          <w:sz w:val="26"/>
          <w:szCs w:val="26"/>
        </w:rPr>
        <w:t xml:space="preserve"> Distribution Companies, the Bureau of Investigation and Enforcement, the Office of Consumer Advocate, the Office of Small Business Advocate</w:t>
      </w:r>
      <w:r>
        <w:rPr>
          <w:sz w:val="26"/>
          <w:szCs w:val="26"/>
        </w:rPr>
        <w:t xml:space="preserve"> and the parties who filed comments at Docket No. </w:t>
      </w:r>
      <w:proofErr w:type="gramStart"/>
      <w:r w:rsidR="00D96C7A" w:rsidRPr="00D96C7A">
        <w:rPr>
          <w:sz w:val="26"/>
          <w:szCs w:val="26"/>
        </w:rPr>
        <w:t>M-2014-2401127</w:t>
      </w:r>
      <w:r>
        <w:rPr>
          <w:sz w:val="26"/>
          <w:szCs w:val="26"/>
        </w:rPr>
        <w:t>.</w:t>
      </w:r>
      <w:proofErr w:type="gramEnd"/>
      <w:r w:rsidR="00D96C7A">
        <w:rPr>
          <w:sz w:val="26"/>
          <w:szCs w:val="26"/>
        </w:rPr>
        <w:t xml:space="preserve">    </w:t>
      </w:r>
    </w:p>
    <w:p w:rsidR="00B95FCC" w:rsidRDefault="00B95FCC" w:rsidP="00D977C4">
      <w:pPr>
        <w:spacing w:line="360" w:lineRule="auto"/>
        <w:rPr>
          <w:sz w:val="26"/>
          <w:szCs w:val="26"/>
        </w:rPr>
      </w:pPr>
    </w:p>
    <w:p w:rsidR="00D977C4" w:rsidRDefault="00B95FCC" w:rsidP="00B95FCC">
      <w:pPr>
        <w:spacing w:line="360" w:lineRule="auto"/>
        <w:ind w:firstLine="720"/>
        <w:rPr>
          <w:sz w:val="26"/>
          <w:szCs w:val="26"/>
        </w:rPr>
      </w:pPr>
      <w:r>
        <w:rPr>
          <w:sz w:val="26"/>
          <w:szCs w:val="26"/>
        </w:rPr>
        <w:t xml:space="preserve">4.  </w:t>
      </w:r>
      <w:r w:rsidRPr="009A4CF6">
        <w:rPr>
          <w:sz w:val="26"/>
          <w:szCs w:val="26"/>
        </w:rPr>
        <w:t xml:space="preserve">That the Secretary shall deposit a </w:t>
      </w:r>
      <w:r>
        <w:rPr>
          <w:sz w:val="26"/>
          <w:szCs w:val="26"/>
        </w:rPr>
        <w:t>notice</w:t>
      </w:r>
      <w:r w:rsidRPr="009A4CF6">
        <w:rPr>
          <w:sz w:val="26"/>
          <w:szCs w:val="26"/>
        </w:rPr>
        <w:t xml:space="preserve"> of this Final Order with the Legislative Reference Bureau for publication in the </w:t>
      </w:r>
      <w:r w:rsidRPr="009A4CF6">
        <w:rPr>
          <w:i/>
          <w:sz w:val="26"/>
          <w:szCs w:val="26"/>
        </w:rPr>
        <w:t>Pennsylvania Bulletin</w:t>
      </w:r>
      <w:r w:rsidRPr="009A4CF6">
        <w:rPr>
          <w:sz w:val="26"/>
          <w:szCs w:val="26"/>
        </w:rPr>
        <w:t xml:space="preserve">.    </w:t>
      </w:r>
      <w:r w:rsidR="00EB7B3D">
        <w:rPr>
          <w:sz w:val="26"/>
          <w:szCs w:val="26"/>
        </w:rPr>
        <w:br/>
      </w:r>
    </w:p>
    <w:p w:rsidR="00D977C4" w:rsidRDefault="00D977C4" w:rsidP="00D96C7A">
      <w:pPr>
        <w:spacing w:line="360" w:lineRule="auto"/>
      </w:pPr>
      <w:r>
        <w:rPr>
          <w:sz w:val="26"/>
          <w:szCs w:val="26"/>
        </w:rPr>
        <w:tab/>
      </w:r>
      <w:r w:rsidR="00B95FCC">
        <w:rPr>
          <w:sz w:val="26"/>
          <w:szCs w:val="26"/>
        </w:rPr>
        <w:t>5</w:t>
      </w:r>
      <w:r>
        <w:rPr>
          <w:sz w:val="26"/>
          <w:szCs w:val="26"/>
        </w:rPr>
        <w:t xml:space="preserve">.  </w:t>
      </w:r>
      <w:r>
        <w:rPr>
          <w:sz w:val="26"/>
        </w:rPr>
        <w:t xml:space="preserve">That a copy of this Order be posted on the Commission’s website at the Office of Competitive Market Oversight’s web page - </w:t>
      </w:r>
      <w:hyperlink r:id="rId9" w:history="1">
        <w:r w:rsidR="00D96C7A" w:rsidRPr="00327B36">
          <w:rPr>
            <w:rStyle w:val="Hyperlink"/>
          </w:rPr>
          <w:t>http://www.puc.pa.gov/utility_industry/electricity/electric_competitive_market_oversight.aspx</w:t>
        </w:r>
      </w:hyperlink>
    </w:p>
    <w:p w:rsidR="00D96C7A" w:rsidRDefault="00D96C7A" w:rsidP="00D96C7A">
      <w:pPr>
        <w:spacing w:line="360" w:lineRule="auto"/>
        <w:rPr>
          <w:sz w:val="26"/>
        </w:rPr>
      </w:pPr>
    </w:p>
    <w:p w:rsidR="00D96C7A" w:rsidRPr="00D96C7A" w:rsidRDefault="00B95FCC" w:rsidP="00C103BC">
      <w:pPr>
        <w:keepNext/>
        <w:keepLines/>
        <w:spacing w:line="360" w:lineRule="auto"/>
        <w:ind w:firstLine="720"/>
        <w:rPr>
          <w:sz w:val="26"/>
        </w:rPr>
      </w:pPr>
      <w:r>
        <w:rPr>
          <w:sz w:val="26"/>
        </w:rPr>
        <w:lastRenderedPageBreak/>
        <w:t>6</w:t>
      </w:r>
      <w:r w:rsidR="00D977C4">
        <w:rPr>
          <w:sz w:val="26"/>
        </w:rPr>
        <w:t xml:space="preserve">.  </w:t>
      </w:r>
      <w:r w:rsidR="00D96C7A" w:rsidRPr="00D96C7A">
        <w:rPr>
          <w:sz w:val="26"/>
        </w:rPr>
        <w:t>That the Office of Competitive Market Oversight shall electronically serve a copy of this Final Order on all persons on the contact list for the Committee Handling Activities for Retail Growth in Electricity.</w:t>
      </w:r>
    </w:p>
    <w:p w:rsidR="00D96C7A" w:rsidRPr="00D96C7A" w:rsidRDefault="00D96C7A" w:rsidP="00C103BC">
      <w:pPr>
        <w:keepNext/>
        <w:keepLines/>
        <w:spacing w:line="360" w:lineRule="auto"/>
        <w:ind w:firstLine="720"/>
        <w:rPr>
          <w:sz w:val="26"/>
        </w:rPr>
      </w:pPr>
    </w:p>
    <w:p w:rsidR="00D977C4" w:rsidRDefault="00D977C4" w:rsidP="00C103BC">
      <w:pPr>
        <w:keepNext/>
        <w:keepLines/>
        <w:spacing w:line="360" w:lineRule="auto"/>
        <w:ind w:firstLine="720"/>
        <w:rPr>
          <w:b/>
          <w:sz w:val="26"/>
          <w:szCs w:val="26"/>
        </w:rPr>
      </w:pPr>
    </w:p>
    <w:p w:rsidR="00D977C4" w:rsidRDefault="00D977C4" w:rsidP="00C103BC">
      <w:pPr>
        <w:keepNext/>
        <w:keepLines/>
        <w:spacing w:line="360" w:lineRule="auto"/>
        <w:ind w:firstLine="720"/>
        <w:rPr>
          <w:b/>
          <w:sz w:val="26"/>
          <w:szCs w:val="26"/>
        </w:rPr>
      </w:pPr>
      <w:r w:rsidRPr="007620D2">
        <w:rPr>
          <w:b/>
          <w:sz w:val="26"/>
          <w:szCs w:val="26"/>
        </w:rPr>
        <w:t>BY THE COMMISSION,</w:t>
      </w:r>
    </w:p>
    <w:p w:rsidR="00D977C4" w:rsidRDefault="00D977C4" w:rsidP="00C103BC">
      <w:pPr>
        <w:keepNext/>
        <w:keepLines/>
        <w:spacing w:line="360" w:lineRule="auto"/>
        <w:ind w:firstLine="720"/>
        <w:rPr>
          <w:b/>
          <w:sz w:val="26"/>
          <w:szCs w:val="26"/>
        </w:rPr>
      </w:pPr>
    </w:p>
    <w:p w:rsidR="00D977C4" w:rsidRDefault="00C117C7" w:rsidP="00C103BC">
      <w:pPr>
        <w:keepNext/>
        <w:keepLines/>
        <w:spacing w:line="360" w:lineRule="auto"/>
        <w:ind w:firstLine="720"/>
        <w:rPr>
          <w:sz w:val="26"/>
          <w:szCs w:val="26"/>
        </w:rPr>
      </w:pPr>
      <w:bookmarkStart w:id="1" w:name="_GoBack"/>
      <w:r>
        <w:rPr>
          <w:noProof/>
        </w:rPr>
        <w:drawing>
          <wp:anchor distT="0" distB="0" distL="114300" distR="114300" simplePos="0" relativeHeight="251659264" behindDoc="1" locked="0" layoutInCell="1" allowOverlap="1" wp14:anchorId="750AE60F" wp14:editId="3E28C017">
            <wp:simplePos x="0" y="0"/>
            <wp:positionH relativeFrom="column">
              <wp:posOffset>2748280</wp:posOffset>
            </wp:positionH>
            <wp:positionV relativeFrom="paragraph">
              <wp:posOffset>99695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sidRPr="007620D2">
        <w:rPr>
          <w:sz w:val="26"/>
          <w:szCs w:val="26"/>
        </w:rPr>
        <w:t>Rosemary Chiavetta</w:t>
      </w:r>
    </w:p>
    <w:p w:rsidR="00D977C4" w:rsidRDefault="00D977C4" w:rsidP="00C103BC">
      <w:pPr>
        <w:keepNext/>
        <w:keepLines/>
        <w:spacing w:line="360" w:lineRule="auto"/>
        <w:ind w:firstLine="720"/>
        <w:rPr>
          <w:sz w:val="26"/>
          <w:szCs w:val="26"/>
        </w:rPr>
      </w:pPr>
    </w:p>
    <w:p w:rsidR="00D977C4" w:rsidRDefault="00D977C4" w:rsidP="00C103BC">
      <w:pPr>
        <w:keepNext/>
        <w:keepLines/>
        <w:spacing w:line="360" w:lineRule="auto"/>
        <w:ind w:firstLine="720"/>
        <w:rPr>
          <w:sz w:val="26"/>
          <w:szCs w:val="26"/>
        </w:rPr>
      </w:pPr>
    </w:p>
    <w:p w:rsidR="00D977C4" w:rsidRPr="007620D2" w:rsidRDefault="00D977C4" w:rsidP="00C103BC">
      <w:pPr>
        <w:keepNext/>
        <w:keepLines/>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D977C4" w:rsidRPr="007620D2" w:rsidRDefault="00D977C4" w:rsidP="00C103BC">
      <w:pPr>
        <w:keepNext/>
        <w:keepLines/>
        <w:rPr>
          <w:sz w:val="26"/>
          <w:szCs w:val="26"/>
        </w:rPr>
      </w:pPr>
    </w:p>
    <w:p w:rsidR="00D977C4" w:rsidRDefault="00D977C4" w:rsidP="00C103BC">
      <w:pPr>
        <w:keepNext/>
        <w:keepLines/>
        <w:rPr>
          <w:sz w:val="26"/>
          <w:szCs w:val="26"/>
        </w:rPr>
      </w:pPr>
    </w:p>
    <w:p w:rsidR="00D977C4"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(SEAL)</w:t>
      </w:r>
    </w:p>
    <w:p w:rsidR="00D977C4" w:rsidRPr="007620D2"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 xml:space="preserve">ORDER ADOPTED:  </w:t>
      </w:r>
      <w:r>
        <w:rPr>
          <w:sz w:val="26"/>
          <w:szCs w:val="26"/>
        </w:rPr>
        <w:t>September 3, 2015</w:t>
      </w:r>
    </w:p>
    <w:p w:rsidR="00D977C4" w:rsidRPr="007620D2" w:rsidRDefault="00D977C4" w:rsidP="00C103BC">
      <w:pPr>
        <w:keepNext/>
        <w:keepLines/>
        <w:rPr>
          <w:sz w:val="26"/>
          <w:szCs w:val="26"/>
        </w:rPr>
      </w:pPr>
    </w:p>
    <w:p w:rsidR="00D977C4" w:rsidRDefault="00D977C4" w:rsidP="00C103BC">
      <w:pPr>
        <w:keepNext/>
        <w:keepLines/>
        <w:rPr>
          <w:sz w:val="26"/>
          <w:szCs w:val="26"/>
        </w:rPr>
      </w:pPr>
      <w:r w:rsidRPr="007620D2">
        <w:rPr>
          <w:sz w:val="26"/>
          <w:szCs w:val="26"/>
        </w:rPr>
        <w:t xml:space="preserve">ORDER ENTERED:  </w:t>
      </w:r>
      <w:r w:rsidR="00C117C7">
        <w:rPr>
          <w:sz w:val="26"/>
          <w:szCs w:val="26"/>
        </w:rPr>
        <w:t>September 3, 2015</w:t>
      </w:r>
    </w:p>
    <w:p w:rsidR="00D37B67" w:rsidRDefault="00D37B67" w:rsidP="00C103BC">
      <w:pPr>
        <w:keepNext/>
        <w:keepLines/>
        <w:spacing w:line="360" w:lineRule="auto"/>
        <w:ind w:firstLine="720"/>
        <w:rPr>
          <w:sz w:val="26"/>
          <w:szCs w:val="26"/>
        </w:rPr>
      </w:pPr>
      <w:r>
        <w:rPr>
          <w:sz w:val="26"/>
          <w:szCs w:val="26"/>
        </w:rPr>
        <w:t xml:space="preserve"> </w:t>
      </w:r>
    </w:p>
    <w:sectPr w:rsidR="00D37B67" w:rsidSect="0035775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5C" w:rsidRDefault="00A00E5C" w:rsidP="00575D25">
      <w:r>
        <w:separator/>
      </w:r>
    </w:p>
  </w:endnote>
  <w:endnote w:type="continuationSeparator" w:id="0">
    <w:p w:rsidR="00A00E5C" w:rsidRDefault="00A00E5C"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35775C" w:rsidRDefault="0035775C">
        <w:pPr>
          <w:pStyle w:val="Footer"/>
          <w:jc w:val="center"/>
        </w:pPr>
        <w:r>
          <w:fldChar w:fldCharType="begin"/>
        </w:r>
        <w:r>
          <w:instrText xml:space="preserve"> PAGE   \* MERGEFORMAT </w:instrText>
        </w:r>
        <w:r>
          <w:fldChar w:fldCharType="separate"/>
        </w:r>
        <w:r w:rsidR="00C117C7">
          <w:rPr>
            <w:noProof/>
          </w:rPr>
          <w:t>13</w:t>
        </w:r>
        <w:r>
          <w:rPr>
            <w:noProof/>
          </w:rPr>
          <w:fldChar w:fldCharType="end"/>
        </w:r>
      </w:p>
    </w:sdtContent>
  </w:sdt>
  <w:p w:rsidR="00692030" w:rsidRDefault="00692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5C" w:rsidRDefault="00A00E5C" w:rsidP="00575D25">
      <w:r>
        <w:separator/>
      </w:r>
    </w:p>
  </w:footnote>
  <w:footnote w:type="continuationSeparator" w:id="0">
    <w:p w:rsidR="00A00E5C" w:rsidRDefault="00A00E5C" w:rsidP="00575D25">
      <w:r>
        <w:continuationSeparator/>
      </w:r>
    </w:p>
  </w:footnote>
  <w:footnote w:id="1">
    <w:p w:rsidR="008560A4" w:rsidRDefault="008560A4">
      <w:pPr>
        <w:pStyle w:val="FootnoteText"/>
        <w:rPr>
          <w:sz w:val="22"/>
          <w:szCs w:val="22"/>
        </w:rPr>
      </w:pPr>
      <w:r w:rsidRPr="00830380">
        <w:rPr>
          <w:rStyle w:val="FootnoteReference"/>
        </w:rPr>
        <w:footnoteRef/>
      </w:r>
      <w:r>
        <w:t xml:space="preserve"> </w:t>
      </w:r>
      <w:proofErr w:type="gramStart"/>
      <w:r w:rsidRPr="008F5246">
        <w:rPr>
          <w:i/>
          <w:sz w:val="22"/>
          <w:szCs w:val="22"/>
        </w:rPr>
        <w:t>Investigation of Pennsylvania’s Retail Electricity Market</w:t>
      </w:r>
      <w:r>
        <w:rPr>
          <w:i/>
          <w:sz w:val="22"/>
          <w:szCs w:val="22"/>
        </w:rPr>
        <w:t xml:space="preserve"> </w:t>
      </w:r>
      <w:r w:rsidRPr="008560A4">
        <w:rPr>
          <w:sz w:val="22"/>
          <w:szCs w:val="22"/>
        </w:rPr>
        <w:t>Order</w:t>
      </w:r>
      <w:r>
        <w:rPr>
          <w:sz w:val="22"/>
          <w:szCs w:val="22"/>
        </w:rPr>
        <w:t>, Docket No.</w:t>
      </w:r>
      <w:proofErr w:type="gramEnd"/>
      <w:r>
        <w:rPr>
          <w:sz w:val="22"/>
          <w:szCs w:val="22"/>
        </w:rPr>
        <w:t xml:space="preserve"> </w:t>
      </w:r>
      <w:r w:rsidRPr="008F5246">
        <w:rPr>
          <w:sz w:val="22"/>
          <w:szCs w:val="22"/>
        </w:rPr>
        <w:t xml:space="preserve">I-2011-2237952 </w:t>
      </w:r>
      <w:r>
        <w:rPr>
          <w:sz w:val="22"/>
          <w:szCs w:val="22"/>
        </w:rPr>
        <w:t>(Order entered April 29, 2011).</w:t>
      </w:r>
    </w:p>
    <w:p w:rsidR="008560A4" w:rsidRDefault="008560A4">
      <w:pPr>
        <w:pStyle w:val="FootnoteText"/>
      </w:pPr>
      <w:r>
        <w:rPr>
          <w:sz w:val="22"/>
          <w:szCs w:val="22"/>
        </w:rPr>
        <w:t xml:space="preserve"> </w:t>
      </w:r>
    </w:p>
  </w:footnote>
  <w:footnote w:id="2">
    <w:p w:rsidR="00E41EB8" w:rsidRDefault="00E41EB8" w:rsidP="00E41EB8">
      <w:pPr>
        <w:pStyle w:val="FootnoteText"/>
        <w:rPr>
          <w:sz w:val="22"/>
          <w:szCs w:val="22"/>
        </w:rPr>
      </w:pPr>
      <w:r w:rsidRPr="00830380">
        <w:rPr>
          <w:rStyle w:val="FootnoteReference"/>
          <w:sz w:val="22"/>
          <w:szCs w:val="22"/>
        </w:rPr>
        <w:footnoteRef/>
      </w:r>
      <w:r w:rsidRPr="008F5246">
        <w:rPr>
          <w:sz w:val="22"/>
          <w:szCs w:val="22"/>
        </w:rPr>
        <w:t xml:space="preserve"> </w:t>
      </w:r>
      <w:r w:rsidRPr="008F5246">
        <w:rPr>
          <w:i/>
          <w:sz w:val="22"/>
          <w:szCs w:val="22"/>
        </w:rPr>
        <w:t xml:space="preserve">Investigation of Pennsylvania’s Retail Electricity Market: End State of Default Service </w:t>
      </w:r>
      <w:r w:rsidRPr="008F5246">
        <w:rPr>
          <w:sz w:val="22"/>
          <w:szCs w:val="22"/>
        </w:rPr>
        <w:t>Final Order</w:t>
      </w:r>
      <w:proofErr w:type="gramStart"/>
      <w:r w:rsidRPr="008F5246">
        <w:rPr>
          <w:sz w:val="22"/>
          <w:szCs w:val="22"/>
        </w:rPr>
        <w:t>,  Docket</w:t>
      </w:r>
      <w:proofErr w:type="gramEnd"/>
      <w:r w:rsidRPr="008F5246">
        <w:rPr>
          <w:sz w:val="22"/>
          <w:szCs w:val="22"/>
        </w:rPr>
        <w:t xml:space="preserve"> No. I-2011-2237952 (Order entered Feb. 15, 2013). </w:t>
      </w:r>
    </w:p>
    <w:p w:rsidR="00E41EB8" w:rsidRPr="008F5246" w:rsidRDefault="00E41EB8" w:rsidP="00E41EB8">
      <w:pPr>
        <w:pStyle w:val="FootnoteText"/>
        <w:rPr>
          <w:sz w:val="22"/>
          <w:szCs w:val="22"/>
        </w:rPr>
      </w:pPr>
    </w:p>
  </w:footnote>
  <w:footnote w:id="3">
    <w:p w:rsidR="00615F30" w:rsidRPr="00615F30" w:rsidRDefault="00615F30" w:rsidP="00615F30">
      <w:pPr>
        <w:pStyle w:val="FootnoteText"/>
        <w:rPr>
          <w:sz w:val="22"/>
          <w:szCs w:val="22"/>
        </w:rPr>
      </w:pPr>
      <w:r w:rsidRPr="00D54FAE">
        <w:rPr>
          <w:sz w:val="22"/>
          <w:szCs w:val="22"/>
          <w:vertAlign w:val="superscript"/>
        </w:rPr>
        <w:footnoteRef/>
      </w:r>
      <w:r w:rsidRPr="00D868CC">
        <w:rPr>
          <w:sz w:val="22"/>
          <w:szCs w:val="22"/>
        </w:rPr>
        <w:t xml:space="preserve"> </w:t>
      </w:r>
      <w:r w:rsidRPr="00615F30">
        <w:rPr>
          <w:i/>
          <w:sz w:val="22"/>
          <w:szCs w:val="22"/>
        </w:rPr>
        <w:t xml:space="preserve">Rulemaking to Amend the Provisions of 52 Pa. Code, Chapter 57 Regulations Regarding Standards for Changing a Customer’s Electricity Generation Supplier, </w:t>
      </w:r>
      <w:r w:rsidRPr="00615F30">
        <w:rPr>
          <w:sz w:val="22"/>
          <w:szCs w:val="22"/>
        </w:rPr>
        <w:t>Docket L-2014-2409383</w:t>
      </w:r>
      <w:r w:rsidRPr="00615F30">
        <w:rPr>
          <w:i/>
          <w:sz w:val="22"/>
          <w:szCs w:val="22"/>
        </w:rPr>
        <w:t xml:space="preserve"> (</w:t>
      </w:r>
      <w:r w:rsidRPr="00615F30">
        <w:rPr>
          <w:sz w:val="22"/>
          <w:szCs w:val="22"/>
        </w:rPr>
        <w:t>Order Entered April 3, 2014).</w:t>
      </w:r>
      <w:r w:rsidR="00692030">
        <w:rPr>
          <w:sz w:val="22"/>
          <w:szCs w:val="22"/>
        </w:rPr>
        <w:br/>
      </w:r>
    </w:p>
  </w:footnote>
  <w:footnote w:id="4">
    <w:p w:rsidR="00615F30" w:rsidRPr="00615F30" w:rsidRDefault="00615F30">
      <w:pPr>
        <w:pStyle w:val="FootnoteText"/>
        <w:rPr>
          <w:sz w:val="22"/>
          <w:szCs w:val="22"/>
        </w:rPr>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sidR="00692030">
        <w:rPr>
          <w:sz w:val="22"/>
          <w:szCs w:val="22"/>
        </w:rPr>
        <w:t>August 13</w:t>
      </w:r>
      <w:r w:rsidRPr="00615F30">
        <w:rPr>
          <w:sz w:val="22"/>
          <w:szCs w:val="22"/>
        </w:rPr>
        <w:t>, 201</w:t>
      </w:r>
      <w:r w:rsidR="00692030">
        <w:rPr>
          <w:sz w:val="22"/>
          <w:szCs w:val="22"/>
        </w:rPr>
        <w:t>4</w:t>
      </w:r>
      <w:r w:rsidRPr="00615F30">
        <w:rPr>
          <w:sz w:val="22"/>
          <w:szCs w:val="22"/>
        </w:rPr>
        <w:t xml:space="preserve">).    </w:t>
      </w:r>
      <w:r w:rsidR="00EB7B3D">
        <w:rPr>
          <w:sz w:val="22"/>
          <w:szCs w:val="22"/>
        </w:rPr>
        <w:br/>
      </w:r>
    </w:p>
  </w:footnote>
  <w:footnote w:id="5">
    <w:p w:rsidR="00692030" w:rsidRDefault="00692030">
      <w:pPr>
        <w:pStyle w:val="FootnoteText"/>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March 20</w:t>
      </w:r>
      <w:r w:rsidRPr="00615F30">
        <w:rPr>
          <w:sz w:val="22"/>
          <w:szCs w:val="22"/>
        </w:rPr>
        <w:t>, 201</w:t>
      </w:r>
      <w:r>
        <w:rPr>
          <w:sz w:val="22"/>
          <w:szCs w:val="22"/>
        </w:rPr>
        <w:t>5</w:t>
      </w:r>
      <w:r w:rsidRPr="00615F30">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9"/>
  </w:num>
  <w:num w:numId="4">
    <w:abstractNumId w:val="6"/>
  </w:num>
  <w:num w:numId="5">
    <w:abstractNumId w:val="8"/>
  </w:num>
  <w:num w:numId="6">
    <w:abstractNumId w:val="2"/>
  </w:num>
  <w:num w:numId="7">
    <w:abstractNumId w:val="0"/>
  </w:num>
  <w:num w:numId="8">
    <w:abstractNumId w:val="3"/>
  </w:num>
  <w:num w:numId="9">
    <w:abstractNumId w:val="7"/>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CF2"/>
    <w:rsid w:val="0002639B"/>
    <w:rsid w:val="000A7FD7"/>
    <w:rsid w:val="00105EA4"/>
    <w:rsid w:val="00130F93"/>
    <w:rsid w:val="00165569"/>
    <w:rsid w:val="00170ED2"/>
    <w:rsid w:val="00171DC7"/>
    <w:rsid w:val="001A00BC"/>
    <w:rsid w:val="001C20BB"/>
    <w:rsid w:val="001D0D4D"/>
    <w:rsid w:val="001D26F7"/>
    <w:rsid w:val="00211EF8"/>
    <w:rsid w:val="002215DD"/>
    <w:rsid w:val="00225E12"/>
    <w:rsid w:val="002273AB"/>
    <w:rsid w:val="00265294"/>
    <w:rsid w:val="002A0C3B"/>
    <w:rsid w:val="002A5970"/>
    <w:rsid w:val="00322B20"/>
    <w:rsid w:val="00333E97"/>
    <w:rsid w:val="00334DF1"/>
    <w:rsid w:val="00343BC4"/>
    <w:rsid w:val="00354D80"/>
    <w:rsid w:val="00355D32"/>
    <w:rsid w:val="0035775C"/>
    <w:rsid w:val="00364E5E"/>
    <w:rsid w:val="00374A97"/>
    <w:rsid w:val="00387BA1"/>
    <w:rsid w:val="003A207A"/>
    <w:rsid w:val="003A47D1"/>
    <w:rsid w:val="003B1CB6"/>
    <w:rsid w:val="003E537F"/>
    <w:rsid w:val="00414B8F"/>
    <w:rsid w:val="004551AD"/>
    <w:rsid w:val="0046067E"/>
    <w:rsid w:val="00467287"/>
    <w:rsid w:val="00473817"/>
    <w:rsid w:val="00482911"/>
    <w:rsid w:val="00490D65"/>
    <w:rsid w:val="004913CE"/>
    <w:rsid w:val="004A39E1"/>
    <w:rsid w:val="004B26C8"/>
    <w:rsid w:val="00504B9B"/>
    <w:rsid w:val="00511830"/>
    <w:rsid w:val="00522E9C"/>
    <w:rsid w:val="005533D2"/>
    <w:rsid w:val="00575D25"/>
    <w:rsid w:val="00580775"/>
    <w:rsid w:val="00606FDC"/>
    <w:rsid w:val="00615F30"/>
    <w:rsid w:val="00616016"/>
    <w:rsid w:val="00624306"/>
    <w:rsid w:val="006522D3"/>
    <w:rsid w:val="00692030"/>
    <w:rsid w:val="006D5D42"/>
    <w:rsid w:val="006F6EE1"/>
    <w:rsid w:val="00751555"/>
    <w:rsid w:val="007623D9"/>
    <w:rsid w:val="007631B2"/>
    <w:rsid w:val="007718FA"/>
    <w:rsid w:val="00784E03"/>
    <w:rsid w:val="00793995"/>
    <w:rsid w:val="007A15B4"/>
    <w:rsid w:val="007D7E16"/>
    <w:rsid w:val="007F6425"/>
    <w:rsid w:val="00807C11"/>
    <w:rsid w:val="00830380"/>
    <w:rsid w:val="00837CEF"/>
    <w:rsid w:val="00845F09"/>
    <w:rsid w:val="00852E36"/>
    <w:rsid w:val="008560A4"/>
    <w:rsid w:val="008872CE"/>
    <w:rsid w:val="008962F8"/>
    <w:rsid w:val="008A039C"/>
    <w:rsid w:val="008B21E4"/>
    <w:rsid w:val="008D19E7"/>
    <w:rsid w:val="008D6CC4"/>
    <w:rsid w:val="00920134"/>
    <w:rsid w:val="009303D9"/>
    <w:rsid w:val="00942229"/>
    <w:rsid w:val="00955C08"/>
    <w:rsid w:val="009662C5"/>
    <w:rsid w:val="00966FC8"/>
    <w:rsid w:val="00994EFC"/>
    <w:rsid w:val="009C2123"/>
    <w:rsid w:val="009D6EF4"/>
    <w:rsid w:val="009E180B"/>
    <w:rsid w:val="00A00E5C"/>
    <w:rsid w:val="00A15E48"/>
    <w:rsid w:val="00A3414E"/>
    <w:rsid w:val="00A5485C"/>
    <w:rsid w:val="00A612FC"/>
    <w:rsid w:val="00A6236C"/>
    <w:rsid w:val="00A85142"/>
    <w:rsid w:val="00A852A9"/>
    <w:rsid w:val="00AA0AAC"/>
    <w:rsid w:val="00AA3553"/>
    <w:rsid w:val="00B22D96"/>
    <w:rsid w:val="00B409FF"/>
    <w:rsid w:val="00B95FCC"/>
    <w:rsid w:val="00C103BC"/>
    <w:rsid w:val="00C117C7"/>
    <w:rsid w:val="00C424F9"/>
    <w:rsid w:val="00C71761"/>
    <w:rsid w:val="00C96752"/>
    <w:rsid w:val="00D11382"/>
    <w:rsid w:val="00D33578"/>
    <w:rsid w:val="00D37B67"/>
    <w:rsid w:val="00D434AC"/>
    <w:rsid w:val="00D54FAE"/>
    <w:rsid w:val="00D67328"/>
    <w:rsid w:val="00D75AFC"/>
    <w:rsid w:val="00D868CC"/>
    <w:rsid w:val="00D96C7A"/>
    <w:rsid w:val="00D977C4"/>
    <w:rsid w:val="00DB5329"/>
    <w:rsid w:val="00DD3016"/>
    <w:rsid w:val="00DD6774"/>
    <w:rsid w:val="00DE3530"/>
    <w:rsid w:val="00E0050E"/>
    <w:rsid w:val="00E1692C"/>
    <w:rsid w:val="00E41EB8"/>
    <w:rsid w:val="00E9586C"/>
    <w:rsid w:val="00EB0977"/>
    <w:rsid w:val="00EB22DD"/>
    <w:rsid w:val="00EB7B3D"/>
    <w:rsid w:val="00EC2040"/>
    <w:rsid w:val="00EC34CC"/>
    <w:rsid w:val="00EC3A07"/>
    <w:rsid w:val="00EE5378"/>
    <w:rsid w:val="00F0470C"/>
    <w:rsid w:val="00F201B3"/>
    <w:rsid w:val="00F20858"/>
    <w:rsid w:val="00F433C1"/>
    <w:rsid w:val="00F721F3"/>
    <w:rsid w:val="00F85C6A"/>
    <w:rsid w:val="00F85F49"/>
    <w:rsid w:val="00F96EAA"/>
    <w:rsid w:val="00FB7B5B"/>
    <w:rsid w:val="00FC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3637-5EBD-4F5B-BE67-158BD53A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Farner, Joyce</cp:lastModifiedBy>
  <cp:revision>6</cp:revision>
  <cp:lastPrinted>2015-09-03T15:14:00Z</cp:lastPrinted>
  <dcterms:created xsi:type="dcterms:W3CDTF">2015-08-20T17:27:00Z</dcterms:created>
  <dcterms:modified xsi:type="dcterms:W3CDTF">2015-09-03T15:19:00Z</dcterms:modified>
</cp:coreProperties>
</file>